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B94D5" w14:textId="664425AF" w:rsidR="00347D67" w:rsidRPr="00F71D7E" w:rsidRDefault="00C14D05" w:rsidP="00480EC9">
      <w:pPr>
        <w:jc w:val="center"/>
        <w:rPr>
          <w:rFonts w:asciiTheme="majorHAnsi" w:hAnsiTheme="majorHAnsi" w:cstheme="majorHAnsi"/>
          <w:b/>
          <w:bCs/>
          <w:sz w:val="28"/>
          <w:szCs w:val="28"/>
        </w:rPr>
      </w:pPr>
      <w:r w:rsidRPr="00F71D7E">
        <w:rPr>
          <w:rFonts w:asciiTheme="majorHAnsi" w:hAnsiTheme="majorHAnsi" w:cstheme="majorHAnsi"/>
          <w:b/>
          <w:bCs/>
          <w:sz w:val="28"/>
          <w:szCs w:val="28"/>
        </w:rPr>
        <w:t>IBTA –</w:t>
      </w:r>
      <w:r w:rsidR="00EC39A3" w:rsidRPr="00F71D7E">
        <w:rPr>
          <w:rFonts w:asciiTheme="majorHAnsi" w:hAnsiTheme="majorHAnsi" w:cstheme="majorHAnsi"/>
          <w:b/>
          <w:bCs/>
          <w:sz w:val="28"/>
          <w:szCs w:val="28"/>
        </w:rPr>
        <w:t xml:space="preserve"> 2026 Spring Session </w:t>
      </w:r>
      <w:r w:rsidRPr="00F71D7E">
        <w:rPr>
          <w:rFonts w:asciiTheme="majorHAnsi" w:hAnsiTheme="majorHAnsi" w:cstheme="majorHAnsi"/>
          <w:b/>
          <w:bCs/>
          <w:sz w:val="28"/>
          <w:szCs w:val="28"/>
        </w:rPr>
        <w:t>Legislati</w:t>
      </w:r>
      <w:r w:rsidR="00EA462E">
        <w:rPr>
          <w:rFonts w:asciiTheme="majorHAnsi" w:hAnsiTheme="majorHAnsi" w:cstheme="majorHAnsi"/>
          <w:b/>
          <w:bCs/>
          <w:sz w:val="28"/>
          <w:szCs w:val="28"/>
        </w:rPr>
        <w:t xml:space="preserve">ve </w:t>
      </w:r>
      <w:r w:rsidR="00485DCD">
        <w:rPr>
          <w:rFonts w:asciiTheme="majorHAnsi" w:hAnsiTheme="majorHAnsi" w:cstheme="majorHAnsi"/>
          <w:b/>
          <w:bCs/>
          <w:sz w:val="28"/>
          <w:szCs w:val="28"/>
        </w:rPr>
        <w:t>Report</w:t>
      </w:r>
      <w:r w:rsidRPr="00F71D7E">
        <w:rPr>
          <w:rFonts w:asciiTheme="majorHAnsi" w:hAnsiTheme="majorHAnsi" w:cstheme="majorHAnsi"/>
          <w:b/>
          <w:bCs/>
          <w:sz w:val="28"/>
          <w:szCs w:val="28"/>
        </w:rPr>
        <w:br/>
      </w:r>
      <w:r w:rsidR="00637A29" w:rsidRPr="00F71D7E">
        <w:rPr>
          <w:rFonts w:asciiTheme="majorHAnsi" w:hAnsiTheme="majorHAnsi" w:cstheme="majorHAnsi"/>
          <w:b/>
          <w:bCs/>
          <w:sz w:val="28"/>
          <w:szCs w:val="28"/>
        </w:rPr>
        <w:t xml:space="preserve">February </w:t>
      </w:r>
      <w:r w:rsidR="000D3425">
        <w:rPr>
          <w:rFonts w:asciiTheme="majorHAnsi" w:hAnsiTheme="majorHAnsi" w:cstheme="majorHAnsi"/>
          <w:b/>
          <w:bCs/>
          <w:sz w:val="28"/>
          <w:szCs w:val="28"/>
        </w:rPr>
        <w:t>20</w:t>
      </w:r>
      <w:r w:rsidR="00637A29" w:rsidRPr="00F71D7E">
        <w:rPr>
          <w:rFonts w:asciiTheme="majorHAnsi" w:hAnsiTheme="majorHAnsi" w:cstheme="majorHAnsi"/>
          <w:b/>
          <w:bCs/>
          <w:sz w:val="28"/>
          <w:szCs w:val="28"/>
        </w:rPr>
        <w:t>, 2026</w:t>
      </w:r>
    </w:p>
    <w:p w14:paraId="1388EC3B" w14:textId="77777777" w:rsidR="00957E25" w:rsidRDefault="00957E25" w:rsidP="001B3EE3">
      <w:pPr>
        <w:spacing w:after="0"/>
        <w:rPr>
          <w:rFonts w:asciiTheme="majorHAnsi" w:hAnsiTheme="majorHAnsi" w:cstheme="majorHAnsi"/>
          <w:b/>
          <w:bCs/>
          <w:u w:val="single"/>
        </w:rPr>
      </w:pPr>
    </w:p>
    <w:p w14:paraId="4680808C" w14:textId="72ADE075" w:rsidR="001B3EE3" w:rsidRPr="001B3EE3" w:rsidRDefault="001B3EE3" w:rsidP="001B3EE3">
      <w:pPr>
        <w:spacing w:after="0"/>
        <w:rPr>
          <w:rFonts w:asciiTheme="majorHAnsi" w:hAnsiTheme="majorHAnsi" w:cstheme="majorHAnsi"/>
          <w:b/>
          <w:bCs/>
          <w:u w:val="single"/>
        </w:rPr>
      </w:pPr>
      <w:r w:rsidRPr="001B3EE3">
        <w:rPr>
          <w:rFonts w:asciiTheme="majorHAnsi" w:hAnsiTheme="majorHAnsi" w:cstheme="majorHAnsi"/>
          <w:b/>
          <w:bCs/>
          <w:u w:val="single"/>
        </w:rPr>
        <w:t xml:space="preserve">Upcoming </w:t>
      </w:r>
      <w:r>
        <w:rPr>
          <w:rFonts w:asciiTheme="majorHAnsi" w:hAnsiTheme="majorHAnsi" w:cstheme="majorHAnsi"/>
          <w:b/>
          <w:bCs/>
          <w:u w:val="single"/>
        </w:rPr>
        <w:t xml:space="preserve">General Assembly </w:t>
      </w:r>
      <w:r w:rsidRPr="001B3EE3">
        <w:rPr>
          <w:rFonts w:asciiTheme="majorHAnsi" w:hAnsiTheme="majorHAnsi" w:cstheme="majorHAnsi"/>
          <w:b/>
          <w:bCs/>
          <w:u w:val="single"/>
        </w:rPr>
        <w:t>Deadlines:</w:t>
      </w:r>
    </w:p>
    <w:p w14:paraId="4AD04677" w14:textId="40C48951" w:rsidR="001B3EE3" w:rsidRPr="001B3EE3" w:rsidRDefault="001B3EE3" w:rsidP="001B3EE3">
      <w:pPr>
        <w:spacing w:after="0"/>
        <w:rPr>
          <w:rFonts w:asciiTheme="majorHAnsi" w:hAnsiTheme="majorHAnsi" w:cstheme="majorHAnsi"/>
        </w:rPr>
      </w:pPr>
      <w:r w:rsidRPr="001B3EE3">
        <w:rPr>
          <w:rFonts w:asciiTheme="majorHAnsi" w:hAnsiTheme="majorHAnsi" w:cstheme="majorHAnsi"/>
        </w:rPr>
        <w:t xml:space="preserve">March 13 – </w:t>
      </w:r>
      <w:r w:rsidR="0005439F">
        <w:rPr>
          <w:rFonts w:asciiTheme="majorHAnsi" w:hAnsiTheme="majorHAnsi" w:cstheme="majorHAnsi"/>
        </w:rPr>
        <w:t>S</w:t>
      </w:r>
      <w:r w:rsidRPr="001B3EE3">
        <w:rPr>
          <w:rFonts w:asciiTheme="majorHAnsi" w:hAnsiTheme="majorHAnsi" w:cstheme="majorHAnsi"/>
        </w:rPr>
        <w:t>enate Committee Deadline</w:t>
      </w:r>
    </w:p>
    <w:p w14:paraId="332C0FA9" w14:textId="77777777" w:rsidR="001B3EE3" w:rsidRPr="001B3EE3" w:rsidRDefault="001B3EE3" w:rsidP="001B3EE3">
      <w:pPr>
        <w:spacing w:after="0"/>
        <w:rPr>
          <w:rFonts w:asciiTheme="majorHAnsi" w:hAnsiTheme="majorHAnsi" w:cstheme="majorHAnsi"/>
        </w:rPr>
      </w:pPr>
      <w:r w:rsidRPr="001B3EE3">
        <w:rPr>
          <w:rFonts w:asciiTheme="majorHAnsi" w:hAnsiTheme="majorHAnsi" w:cstheme="majorHAnsi"/>
        </w:rPr>
        <w:t>March 27 – House Committee Deadline</w:t>
      </w:r>
    </w:p>
    <w:p w14:paraId="3C61845C" w14:textId="77777777" w:rsidR="001B3EE3" w:rsidRPr="001B3EE3" w:rsidRDefault="001B3EE3" w:rsidP="001B3EE3">
      <w:pPr>
        <w:spacing w:after="0"/>
        <w:rPr>
          <w:rFonts w:asciiTheme="majorHAnsi" w:hAnsiTheme="majorHAnsi" w:cstheme="majorHAnsi"/>
        </w:rPr>
      </w:pPr>
      <w:r w:rsidRPr="001B3EE3">
        <w:rPr>
          <w:rFonts w:asciiTheme="majorHAnsi" w:hAnsiTheme="majorHAnsi" w:cstheme="majorHAnsi"/>
        </w:rPr>
        <w:t>April 17 – House &amp; Senate Third Reading Deadline</w:t>
      </w:r>
    </w:p>
    <w:p w14:paraId="041F9F95" w14:textId="0712CFAC" w:rsidR="001B3EE3" w:rsidRPr="001B3EE3" w:rsidRDefault="001B3EE3" w:rsidP="001B3EE3">
      <w:pPr>
        <w:spacing w:after="0"/>
        <w:rPr>
          <w:rFonts w:asciiTheme="majorHAnsi" w:hAnsiTheme="majorHAnsi" w:cstheme="majorHAnsi"/>
        </w:rPr>
      </w:pPr>
      <w:r w:rsidRPr="001B3EE3">
        <w:rPr>
          <w:rFonts w:asciiTheme="majorHAnsi" w:hAnsiTheme="majorHAnsi" w:cstheme="majorHAnsi"/>
        </w:rPr>
        <w:t>May 8 – Committee Deadline - Bills that Passed O</w:t>
      </w:r>
      <w:r w:rsidR="0005439F">
        <w:rPr>
          <w:rFonts w:asciiTheme="majorHAnsi" w:hAnsiTheme="majorHAnsi" w:cstheme="majorHAnsi"/>
        </w:rPr>
        <w:t xml:space="preserve">pposite </w:t>
      </w:r>
      <w:r w:rsidRPr="001B3EE3">
        <w:rPr>
          <w:rFonts w:asciiTheme="majorHAnsi" w:hAnsiTheme="majorHAnsi" w:cstheme="majorHAnsi"/>
        </w:rPr>
        <w:t>Chamber</w:t>
      </w:r>
    </w:p>
    <w:p w14:paraId="4C39C8A8" w14:textId="40E056B3" w:rsidR="001B3EE3" w:rsidRPr="001B3EE3" w:rsidRDefault="001B3EE3" w:rsidP="001B3EE3">
      <w:pPr>
        <w:spacing w:after="0"/>
        <w:rPr>
          <w:rFonts w:asciiTheme="majorHAnsi" w:hAnsiTheme="majorHAnsi" w:cstheme="majorHAnsi"/>
        </w:rPr>
      </w:pPr>
      <w:r w:rsidRPr="001B3EE3">
        <w:rPr>
          <w:rFonts w:asciiTheme="majorHAnsi" w:hAnsiTheme="majorHAnsi" w:cstheme="majorHAnsi"/>
        </w:rPr>
        <w:t>May 22 – Third Reading Deadline - Bills that Passed O</w:t>
      </w:r>
      <w:r w:rsidR="0005439F">
        <w:rPr>
          <w:rFonts w:asciiTheme="majorHAnsi" w:hAnsiTheme="majorHAnsi" w:cstheme="majorHAnsi"/>
        </w:rPr>
        <w:t>pposite</w:t>
      </w:r>
      <w:r w:rsidRPr="001B3EE3">
        <w:rPr>
          <w:rFonts w:asciiTheme="majorHAnsi" w:hAnsiTheme="majorHAnsi" w:cstheme="majorHAnsi"/>
        </w:rPr>
        <w:t xml:space="preserve"> Chamber</w:t>
      </w:r>
    </w:p>
    <w:p w14:paraId="1EBBE3A5" w14:textId="5FD3B157" w:rsidR="00485DCD" w:rsidRDefault="001B3EE3" w:rsidP="001B3EE3">
      <w:pPr>
        <w:spacing w:after="0"/>
        <w:rPr>
          <w:rFonts w:asciiTheme="majorHAnsi" w:hAnsiTheme="majorHAnsi" w:cstheme="majorHAnsi"/>
        </w:rPr>
      </w:pPr>
      <w:r w:rsidRPr="001B3EE3">
        <w:rPr>
          <w:rFonts w:asciiTheme="majorHAnsi" w:hAnsiTheme="majorHAnsi" w:cstheme="majorHAnsi"/>
        </w:rPr>
        <w:t>May 31 - Adjournment</w:t>
      </w:r>
    </w:p>
    <w:p w14:paraId="359F2284" w14:textId="77777777" w:rsidR="00EA462E" w:rsidRDefault="00EA462E" w:rsidP="001B3EE3">
      <w:pPr>
        <w:spacing w:after="0"/>
        <w:rPr>
          <w:rFonts w:asciiTheme="majorHAnsi" w:hAnsiTheme="majorHAnsi" w:cstheme="majorHAnsi"/>
        </w:rPr>
      </w:pPr>
    </w:p>
    <w:p w14:paraId="3D7F65F1" w14:textId="12A719C8" w:rsidR="00286AEC" w:rsidRPr="00974413" w:rsidRDefault="00974413" w:rsidP="001B3EE3">
      <w:pPr>
        <w:spacing w:after="0"/>
        <w:rPr>
          <w:rFonts w:asciiTheme="majorHAnsi" w:hAnsiTheme="majorHAnsi" w:cstheme="majorHAnsi"/>
          <w:b/>
          <w:bCs/>
          <w:u w:val="single"/>
        </w:rPr>
      </w:pPr>
      <w:r w:rsidRPr="00974413">
        <w:rPr>
          <w:rFonts w:asciiTheme="majorHAnsi" w:hAnsiTheme="majorHAnsi" w:cstheme="majorHAnsi"/>
          <w:b/>
          <w:bCs/>
          <w:u w:val="single"/>
        </w:rPr>
        <w:t>New Legislation:</w:t>
      </w:r>
    </w:p>
    <w:p w14:paraId="0D958751" w14:textId="77777777" w:rsidR="006120DF" w:rsidRDefault="006120DF" w:rsidP="00FA4616">
      <w:pPr>
        <w:spacing w:after="0"/>
        <w:rPr>
          <w:rFonts w:asciiTheme="majorHAnsi" w:hAnsiTheme="majorHAnsi" w:cstheme="majorHAnsi"/>
          <w:b/>
          <w:bCs/>
          <w:u w:val="single"/>
        </w:rPr>
      </w:pPr>
    </w:p>
    <w:p w14:paraId="4B7E8DA7" w14:textId="15DAFFD7" w:rsidR="00480EC9" w:rsidRPr="00480EC9" w:rsidRDefault="00480EC9" w:rsidP="00FA4616">
      <w:pPr>
        <w:spacing w:after="0"/>
        <w:rPr>
          <w:rFonts w:asciiTheme="majorHAnsi" w:hAnsiTheme="majorHAnsi" w:cstheme="majorHAnsi"/>
          <w:b/>
          <w:bCs/>
          <w:u w:val="single"/>
        </w:rPr>
      </w:pPr>
      <w:r w:rsidRPr="00480EC9">
        <w:rPr>
          <w:rFonts w:asciiTheme="majorHAnsi" w:hAnsiTheme="majorHAnsi" w:cstheme="majorHAnsi"/>
          <w:b/>
          <w:bCs/>
          <w:u w:val="single"/>
        </w:rPr>
        <w:t>Broadband and Telecommunications:</w:t>
      </w:r>
    </w:p>
    <w:p w14:paraId="28F98759" w14:textId="77777777" w:rsidR="00347D67" w:rsidRPr="0050507C" w:rsidRDefault="00C14D05" w:rsidP="00480EC9">
      <w:pPr>
        <w:spacing w:after="0"/>
        <w:rPr>
          <w:rFonts w:asciiTheme="majorHAnsi" w:hAnsiTheme="majorHAnsi" w:cstheme="majorHAnsi"/>
          <w:b/>
          <w:bCs/>
        </w:rPr>
      </w:pPr>
      <w:hyperlink r:id="rId9">
        <w:r w:rsidRPr="0050507C">
          <w:rPr>
            <w:rFonts w:asciiTheme="majorHAnsi" w:hAnsiTheme="majorHAnsi" w:cstheme="majorHAnsi"/>
            <w:b/>
            <w:bCs/>
            <w:color w:val="0000FF"/>
            <w:u w:val="single"/>
          </w:rPr>
          <w:t>HB 4561 – Low-Income Broadband Program (Rep. Ortiz)</w:t>
        </w:r>
      </w:hyperlink>
    </w:p>
    <w:p w14:paraId="07CA1E41" w14:textId="17213275" w:rsidR="00347D67" w:rsidRPr="00480EC9" w:rsidRDefault="00C14D05">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Pr="00480EC9">
        <w:rPr>
          <w:rFonts w:asciiTheme="majorHAnsi" w:hAnsiTheme="majorHAnsi" w:cstheme="majorHAnsi"/>
        </w:rPr>
        <w:t xml:space="preserve">This legislation establishes a State-administered low-income broadband affordability program administered </w:t>
      </w:r>
      <w:r w:rsidR="00484053">
        <w:rPr>
          <w:rFonts w:asciiTheme="majorHAnsi" w:hAnsiTheme="majorHAnsi" w:cstheme="majorHAnsi"/>
        </w:rPr>
        <w:t xml:space="preserve">by DCEO </w:t>
      </w:r>
      <w:r w:rsidRPr="00480EC9">
        <w:rPr>
          <w:rFonts w:asciiTheme="majorHAnsi" w:hAnsiTheme="majorHAnsi" w:cstheme="majorHAnsi"/>
        </w:rPr>
        <w:t>in coordination with participating broadband providers.</w:t>
      </w:r>
    </w:p>
    <w:p w14:paraId="6FF74A93" w14:textId="77777777" w:rsidR="00347D67" w:rsidRPr="00480EC9" w:rsidRDefault="00C14D05" w:rsidP="00480EC9">
      <w:pPr>
        <w:spacing w:after="0"/>
        <w:rPr>
          <w:rFonts w:asciiTheme="majorHAnsi" w:hAnsiTheme="majorHAnsi" w:cstheme="majorHAnsi"/>
        </w:rPr>
      </w:pPr>
      <w:r w:rsidRPr="00480EC9">
        <w:rPr>
          <w:rFonts w:asciiTheme="majorHAnsi" w:hAnsiTheme="majorHAnsi" w:cstheme="majorHAnsi"/>
        </w:rPr>
        <w:t>Key Statutory Provisions:</w:t>
      </w:r>
    </w:p>
    <w:p w14:paraId="7CF4D49F" w14:textId="592A5BA1" w:rsidR="00347D67" w:rsidRPr="00480EC9" w:rsidRDefault="00C14D05" w:rsidP="00480EC9">
      <w:pPr>
        <w:pStyle w:val="ListParagraph"/>
        <w:numPr>
          <w:ilvl w:val="0"/>
          <w:numId w:val="10"/>
        </w:numPr>
        <w:rPr>
          <w:rFonts w:asciiTheme="majorHAnsi" w:hAnsiTheme="majorHAnsi" w:cstheme="majorHAnsi"/>
        </w:rPr>
      </w:pPr>
      <w:r w:rsidRPr="00480EC9">
        <w:rPr>
          <w:rFonts w:asciiTheme="majorHAnsi" w:hAnsiTheme="majorHAnsi" w:cstheme="majorHAnsi"/>
        </w:rPr>
        <w:t xml:space="preserve">Creates a Low-Income Broadband Assistance Program within </w:t>
      </w:r>
      <w:r w:rsidR="004365D3">
        <w:rPr>
          <w:rFonts w:asciiTheme="majorHAnsi" w:hAnsiTheme="majorHAnsi" w:cstheme="majorHAnsi"/>
        </w:rPr>
        <w:t>DCEO</w:t>
      </w:r>
      <w:r w:rsidRPr="00480EC9">
        <w:rPr>
          <w:rFonts w:asciiTheme="majorHAnsi" w:hAnsiTheme="majorHAnsi" w:cstheme="majorHAnsi"/>
        </w:rPr>
        <w:t>.</w:t>
      </w:r>
    </w:p>
    <w:p w14:paraId="578DD544" w14:textId="77777777" w:rsidR="00347D67" w:rsidRPr="00480EC9" w:rsidRDefault="00C14D05" w:rsidP="00480EC9">
      <w:pPr>
        <w:pStyle w:val="ListParagraph"/>
        <w:numPr>
          <w:ilvl w:val="0"/>
          <w:numId w:val="10"/>
        </w:numPr>
        <w:rPr>
          <w:rFonts w:asciiTheme="majorHAnsi" w:hAnsiTheme="majorHAnsi" w:cstheme="majorHAnsi"/>
        </w:rPr>
      </w:pPr>
      <w:r w:rsidRPr="00480EC9">
        <w:rPr>
          <w:rFonts w:asciiTheme="majorHAnsi" w:hAnsiTheme="majorHAnsi" w:cstheme="majorHAnsi"/>
        </w:rPr>
        <w:t>Establishes eligibility criteria based on household income levels and participation in specified assistance programs.</w:t>
      </w:r>
    </w:p>
    <w:p w14:paraId="773B7521" w14:textId="77777777" w:rsidR="00347D67" w:rsidRDefault="00C14D05" w:rsidP="00480EC9">
      <w:pPr>
        <w:pStyle w:val="ListParagraph"/>
        <w:numPr>
          <w:ilvl w:val="0"/>
          <w:numId w:val="10"/>
        </w:numPr>
        <w:rPr>
          <w:rFonts w:asciiTheme="majorHAnsi" w:hAnsiTheme="majorHAnsi" w:cstheme="majorHAnsi"/>
        </w:rPr>
      </w:pPr>
      <w:r w:rsidRPr="00480EC9">
        <w:rPr>
          <w:rFonts w:asciiTheme="majorHAnsi" w:hAnsiTheme="majorHAnsi" w:cstheme="majorHAnsi"/>
        </w:rPr>
        <w:t>Authorizes the administering agency to set discount levels, approve participating providers, and establish reimbursement mechanisms.</w:t>
      </w:r>
    </w:p>
    <w:p w14:paraId="48465017" w14:textId="52344468" w:rsidR="00255D09" w:rsidRPr="00480EC9" w:rsidRDefault="000A7C70" w:rsidP="00480EC9">
      <w:pPr>
        <w:pStyle w:val="ListParagraph"/>
        <w:numPr>
          <w:ilvl w:val="0"/>
          <w:numId w:val="10"/>
        </w:numPr>
        <w:rPr>
          <w:rFonts w:asciiTheme="majorHAnsi" w:hAnsiTheme="majorHAnsi" w:cstheme="majorHAnsi"/>
        </w:rPr>
      </w:pPr>
      <w:r>
        <w:rPr>
          <w:rFonts w:asciiTheme="majorHAnsi" w:hAnsiTheme="majorHAnsi" w:cstheme="majorHAnsi"/>
        </w:rPr>
        <w:t>P</w:t>
      </w:r>
      <w:r w:rsidR="00255D09">
        <w:rPr>
          <w:rFonts w:asciiTheme="majorHAnsi" w:hAnsiTheme="majorHAnsi" w:cstheme="majorHAnsi"/>
        </w:rPr>
        <w:t>articipants</w:t>
      </w:r>
      <w:r w:rsidR="00AF2E33">
        <w:rPr>
          <w:rFonts w:asciiTheme="majorHAnsi" w:hAnsiTheme="majorHAnsi" w:cstheme="majorHAnsi"/>
        </w:rPr>
        <w:t xml:space="preserve"> </w:t>
      </w:r>
      <w:r>
        <w:rPr>
          <w:rFonts w:asciiTheme="majorHAnsi" w:hAnsiTheme="majorHAnsi" w:cstheme="majorHAnsi"/>
        </w:rPr>
        <w:t>of the federal Lifeline</w:t>
      </w:r>
      <w:r w:rsidR="007B71CE">
        <w:rPr>
          <w:rFonts w:asciiTheme="majorHAnsi" w:hAnsiTheme="majorHAnsi" w:cstheme="majorHAnsi"/>
        </w:rPr>
        <w:t xml:space="preserve"> program </w:t>
      </w:r>
      <w:r w:rsidR="00AF2E33">
        <w:rPr>
          <w:rFonts w:asciiTheme="majorHAnsi" w:hAnsiTheme="majorHAnsi" w:cstheme="majorHAnsi"/>
        </w:rPr>
        <w:t>are not eligible to participate in th</w:t>
      </w:r>
      <w:r w:rsidR="007B71CE">
        <w:rPr>
          <w:rFonts w:asciiTheme="majorHAnsi" w:hAnsiTheme="majorHAnsi" w:cstheme="majorHAnsi"/>
        </w:rPr>
        <w:t>is</w:t>
      </w:r>
      <w:r w:rsidR="00AF2E33">
        <w:rPr>
          <w:rFonts w:asciiTheme="majorHAnsi" w:hAnsiTheme="majorHAnsi" w:cstheme="majorHAnsi"/>
        </w:rPr>
        <w:t xml:space="preserve"> state-administered program</w:t>
      </w:r>
    </w:p>
    <w:p w14:paraId="3F09749D" w14:textId="57CEF611" w:rsidR="00347D67" w:rsidRPr="00480EC9" w:rsidRDefault="00C14D05" w:rsidP="00480EC9">
      <w:pPr>
        <w:pStyle w:val="ListParagraph"/>
        <w:numPr>
          <w:ilvl w:val="0"/>
          <w:numId w:val="10"/>
        </w:numPr>
        <w:rPr>
          <w:rFonts w:asciiTheme="majorHAnsi" w:hAnsiTheme="majorHAnsi" w:cstheme="majorHAnsi"/>
        </w:rPr>
      </w:pPr>
      <w:r w:rsidRPr="00480EC9">
        <w:rPr>
          <w:rFonts w:asciiTheme="majorHAnsi" w:hAnsiTheme="majorHAnsi" w:cstheme="majorHAnsi"/>
        </w:rPr>
        <w:t xml:space="preserve">Requires </w:t>
      </w:r>
      <w:r w:rsidR="004365D3">
        <w:rPr>
          <w:rFonts w:asciiTheme="majorHAnsi" w:hAnsiTheme="majorHAnsi" w:cstheme="majorHAnsi"/>
        </w:rPr>
        <w:t xml:space="preserve">DCEO to remit </w:t>
      </w:r>
      <w:r w:rsidR="006D7DFD">
        <w:rPr>
          <w:rFonts w:asciiTheme="majorHAnsi" w:hAnsiTheme="majorHAnsi" w:cstheme="majorHAnsi"/>
        </w:rPr>
        <w:t xml:space="preserve">to </w:t>
      </w:r>
      <w:r w:rsidRPr="00480EC9">
        <w:rPr>
          <w:rFonts w:asciiTheme="majorHAnsi" w:hAnsiTheme="majorHAnsi" w:cstheme="majorHAnsi"/>
        </w:rPr>
        <w:t xml:space="preserve">participating broadband providers </w:t>
      </w:r>
      <w:r w:rsidR="006D7DFD">
        <w:rPr>
          <w:rFonts w:asciiTheme="majorHAnsi" w:hAnsiTheme="majorHAnsi" w:cstheme="majorHAnsi"/>
        </w:rPr>
        <w:t xml:space="preserve">a monthly credit </w:t>
      </w:r>
      <w:r w:rsidR="007E3917">
        <w:rPr>
          <w:rFonts w:asciiTheme="majorHAnsi" w:hAnsiTheme="majorHAnsi" w:cstheme="majorHAnsi"/>
        </w:rPr>
        <w:t xml:space="preserve">equal to the portion of the monthly bill that is not </w:t>
      </w:r>
      <w:r w:rsidR="00DA2928">
        <w:rPr>
          <w:rFonts w:asciiTheme="majorHAnsi" w:hAnsiTheme="majorHAnsi" w:cstheme="majorHAnsi"/>
        </w:rPr>
        <w:t>the responsibility of the family</w:t>
      </w:r>
      <w:r w:rsidRPr="00480EC9">
        <w:rPr>
          <w:rFonts w:asciiTheme="majorHAnsi" w:hAnsiTheme="majorHAnsi" w:cstheme="majorHAnsi"/>
        </w:rPr>
        <w:t>.</w:t>
      </w:r>
    </w:p>
    <w:p w14:paraId="6419C702" w14:textId="77777777" w:rsidR="00347D67" w:rsidRPr="00480EC9" w:rsidRDefault="00C14D05" w:rsidP="00480EC9">
      <w:pPr>
        <w:pStyle w:val="ListParagraph"/>
        <w:numPr>
          <w:ilvl w:val="0"/>
          <w:numId w:val="10"/>
        </w:numPr>
        <w:rPr>
          <w:rFonts w:asciiTheme="majorHAnsi" w:hAnsiTheme="majorHAnsi" w:cstheme="majorHAnsi"/>
        </w:rPr>
      </w:pPr>
      <w:r w:rsidRPr="00480EC9">
        <w:rPr>
          <w:rFonts w:asciiTheme="majorHAnsi" w:hAnsiTheme="majorHAnsi" w:cstheme="majorHAnsi"/>
        </w:rPr>
        <w:t>Authorizes rulemaking and appropriations to implement and fund the program.</w:t>
      </w:r>
    </w:p>
    <w:p w14:paraId="7F8CAD1D" w14:textId="77777777" w:rsidR="00347D67" w:rsidRPr="0050507C" w:rsidRDefault="00C14D05" w:rsidP="00480EC9">
      <w:pPr>
        <w:spacing w:after="0"/>
        <w:rPr>
          <w:rFonts w:asciiTheme="majorHAnsi" w:hAnsiTheme="majorHAnsi" w:cstheme="majorHAnsi"/>
          <w:b/>
          <w:bCs/>
          <w:color w:val="EE0000"/>
        </w:rPr>
      </w:pPr>
      <w:hyperlink r:id="rId10">
        <w:r w:rsidRPr="0050507C">
          <w:rPr>
            <w:rFonts w:asciiTheme="majorHAnsi" w:hAnsiTheme="majorHAnsi" w:cstheme="majorHAnsi"/>
            <w:b/>
            <w:bCs/>
            <w:color w:val="EE0000"/>
            <w:u w:val="single"/>
          </w:rPr>
          <w:t>HB 4562 – Switch Network Salvage (Rep. West)</w:t>
        </w:r>
      </w:hyperlink>
    </w:p>
    <w:p w14:paraId="4D209101" w14:textId="6B873112" w:rsidR="00192C69" w:rsidRPr="00480EC9" w:rsidRDefault="00192C69" w:rsidP="00192C69">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Pr="00480EC9">
        <w:rPr>
          <w:rFonts w:asciiTheme="majorHAnsi" w:hAnsiTheme="majorHAnsi" w:cstheme="majorHAnsi"/>
        </w:rPr>
        <w:t>Amends the Public Utilities Act in provisions governing a Large Electing Provider’s transition to IP</w:t>
      </w:r>
      <w:r w:rsidRPr="00480EC9">
        <w:rPr>
          <w:rFonts w:ascii="Cambria Math" w:hAnsi="Cambria Math" w:cs="Cambria Math"/>
        </w:rPr>
        <w:t>‑</w:t>
      </w:r>
      <w:r w:rsidRPr="00480EC9">
        <w:rPr>
          <w:rFonts w:asciiTheme="majorHAnsi" w:hAnsiTheme="majorHAnsi" w:cstheme="majorHAnsi"/>
        </w:rPr>
        <w:t>based networks and service. The bill extends the required continuation of telecommunications service over traditional circuit</w:t>
      </w:r>
      <w:r w:rsidRPr="00480EC9">
        <w:rPr>
          <w:rFonts w:ascii="Cambria Math" w:hAnsi="Cambria Math" w:cs="Cambria Math"/>
        </w:rPr>
        <w:t>‑</w:t>
      </w:r>
      <w:r w:rsidRPr="00480EC9">
        <w:rPr>
          <w:rFonts w:asciiTheme="majorHAnsi" w:hAnsiTheme="majorHAnsi" w:cstheme="majorHAnsi"/>
        </w:rPr>
        <w:t>switched networks for existing residential and business end</w:t>
      </w:r>
      <w:r w:rsidRPr="00480EC9">
        <w:rPr>
          <w:rFonts w:ascii="Cambria Math" w:hAnsi="Cambria Math" w:cs="Cambria Math"/>
        </w:rPr>
        <w:t>‑</w:t>
      </w:r>
      <w:r w:rsidRPr="00480EC9">
        <w:rPr>
          <w:rFonts w:asciiTheme="majorHAnsi" w:hAnsiTheme="majorHAnsi" w:cstheme="majorHAnsi"/>
        </w:rPr>
        <w:t>use customers through at least December 31, 2031. It then establishes a process beginning January 1, 2032</w:t>
      </w:r>
      <w:r>
        <w:rPr>
          <w:rFonts w:asciiTheme="majorHAnsi" w:hAnsiTheme="majorHAnsi" w:cstheme="majorHAnsi"/>
        </w:rPr>
        <w:t>,</w:t>
      </w:r>
      <w:r w:rsidRPr="00480EC9">
        <w:rPr>
          <w:rFonts w:asciiTheme="majorHAnsi" w:hAnsiTheme="majorHAnsi" w:cstheme="majorHAnsi"/>
        </w:rPr>
        <w:t xml:space="preserve"> for returning the </w:t>
      </w:r>
      <w:r w:rsidRPr="00480EC9">
        <w:rPr>
          <w:rFonts w:ascii="Calibri" w:hAnsi="Calibri" w:cs="Calibri"/>
        </w:rPr>
        <w:t>“</w:t>
      </w:r>
      <w:r w:rsidRPr="00480EC9">
        <w:rPr>
          <w:rFonts w:asciiTheme="majorHAnsi" w:hAnsiTheme="majorHAnsi" w:cstheme="majorHAnsi"/>
        </w:rPr>
        <w:t>salvage value</w:t>
      </w:r>
      <w:r w:rsidRPr="00480EC9">
        <w:rPr>
          <w:rFonts w:ascii="Calibri" w:hAnsi="Calibri" w:cs="Calibri"/>
        </w:rPr>
        <w:t>”</w:t>
      </w:r>
      <w:r w:rsidRPr="00480EC9">
        <w:rPr>
          <w:rFonts w:asciiTheme="majorHAnsi" w:hAnsiTheme="majorHAnsi" w:cstheme="majorHAnsi"/>
        </w:rPr>
        <w:t xml:space="preserve"> of traditional circuit</w:t>
      </w:r>
      <w:r w:rsidRPr="00480EC9">
        <w:rPr>
          <w:rFonts w:ascii="Cambria Math" w:hAnsi="Cambria Math" w:cs="Cambria Math"/>
        </w:rPr>
        <w:t>‑</w:t>
      </w:r>
      <w:r w:rsidRPr="00480EC9">
        <w:rPr>
          <w:rFonts w:asciiTheme="majorHAnsi" w:hAnsiTheme="majorHAnsi" w:cstheme="majorHAnsi"/>
        </w:rPr>
        <w:t>switched network components (including copper wiring) to Illinois</w:t>
      </w:r>
      <w:r w:rsidR="00497956">
        <w:rPr>
          <w:rFonts w:asciiTheme="majorHAnsi" w:hAnsiTheme="majorHAnsi" w:cstheme="majorHAnsi"/>
        </w:rPr>
        <w:t xml:space="preserve"> residents</w:t>
      </w:r>
      <w:r w:rsidRPr="00480EC9">
        <w:rPr>
          <w:rFonts w:asciiTheme="majorHAnsi" w:hAnsiTheme="majorHAnsi" w:cstheme="majorHAnsi"/>
        </w:rPr>
        <w:t xml:space="preserve">, requiring completion of salvage activities by January 1, 2038. </w:t>
      </w:r>
    </w:p>
    <w:p w14:paraId="7567C3E7" w14:textId="77777777" w:rsidR="00192C69" w:rsidRPr="00480EC9" w:rsidRDefault="00192C69" w:rsidP="00192C69">
      <w:pPr>
        <w:spacing w:after="0"/>
        <w:rPr>
          <w:rFonts w:asciiTheme="majorHAnsi" w:hAnsiTheme="majorHAnsi" w:cstheme="majorHAnsi"/>
        </w:rPr>
      </w:pPr>
      <w:r w:rsidRPr="00480EC9">
        <w:rPr>
          <w:rFonts w:asciiTheme="majorHAnsi" w:hAnsiTheme="majorHAnsi" w:cstheme="majorHAnsi"/>
        </w:rPr>
        <w:t>Key Statutory Provisions:</w:t>
      </w:r>
    </w:p>
    <w:p w14:paraId="28D36E61" w14:textId="77777777" w:rsidR="00192C69" w:rsidRPr="00A42D23" w:rsidRDefault="00192C69" w:rsidP="00192C69">
      <w:pPr>
        <w:pStyle w:val="ListParagraph"/>
        <w:numPr>
          <w:ilvl w:val="0"/>
          <w:numId w:val="22"/>
        </w:numPr>
        <w:rPr>
          <w:rFonts w:asciiTheme="majorHAnsi" w:hAnsiTheme="majorHAnsi" w:cstheme="majorHAnsi"/>
        </w:rPr>
      </w:pPr>
      <w:r w:rsidRPr="00A42D23">
        <w:rPr>
          <w:rFonts w:asciiTheme="majorHAnsi" w:hAnsiTheme="majorHAnsi" w:cstheme="majorHAnsi"/>
        </w:rPr>
        <w:lastRenderedPageBreak/>
        <w:t>Requires a Large Electing Provider to provide telecommunications service—including telecommunications service over traditional circuit</w:t>
      </w:r>
      <w:r w:rsidRPr="00A42D23">
        <w:rPr>
          <w:rFonts w:ascii="Cambria Math" w:hAnsi="Cambria Math" w:cs="Cambria Math"/>
        </w:rPr>
        <w:t>‑</w:t>
      </w:r>
      <w:r w:rsidRPr="00A42D23">
        <w:rPr>
          <w:rFonts w:asciiTheme="majorHAnsi" w:hAnsiTheme="majorHAnsi" w:cstheme="majorHAnsi"/>
        </w:rPr>
        <w:t>switched networks</w:t>
      </w:r>
      <w:r w:rsidRPr="00A42D23">
        <w:rPr>
          <w:rFonts w:ascii="Calibri" w:hAnsi="Calibri" w:cs="Calibri"/>
        </w:rPr>
        <w:t>—</w:t>
      </w:r>
      <w:r w:rsidRPr="00A42D23">
        <w:rPr>
          <w:rFonts w:asciiTheme="majorHAnsi" w:hAnsiTheme="majorHAnsi" w:cstheme="majorHAnsi"/>
        </w:rPr>
        <w:t>to existing business and residential end</w:t>
      </w:r>
      <w:r w:rsidRPr="00A42D23">
        <w:rPr>
          <w:rFonts w:ascii="Cambria Math" w:hAnsi="Cambria Math" w:cs="Cambria Math"/>
        </w:rPr>
        <w:t>‑</w:t>
      </w:r>
      <w:r w:rsidRPr="00A42D23">
        <w:rPr>
          <w:rFonts w:asciiTheme="majorHAnsi" w:hAnsiTheme="majorHAnsi" w:cstheme="majorHAnsi"/>
        </w:rPr>
        <w:t>use customers until at least December 31, 2031.</w:t>
      </w:r>
    </w:p>
    <w:p w14:paraId="523E43A6" w14:textId="20A1C7B6" w:rsidR="00192C69" w:rsidRPr="00A42D23" w:rsidRDefault="00192C69" w:rsidP="00192C69">
      <w:pPr>
        <w:pStyle w:val="ListParagraph"/>
        <w:numPr>
          <w:ilvl w:val="0"/>
          <w:numId w:val="22"/>
        </w:numPr>
        <w:rPr>
          <w:rFonts w:asciiTheme="majorHAnsi" w:hAnsiTheme="majorHAnsi" w:cstheme="majorHAnsi"/>
        </w:rPr>
      </w:pPr>
      <w:r w:rsidRPr="00A42D23">
        <w:rPr>
          <w:rFonts w:asciiTheme="majorHAnsi" w:hAnsiTheme="majorHAnsi" w:cstheme="majorHAnsi"/>
        </w:rPr>
        <w:t>Beginning January 1, 2032, requires a Large Electing Provider to start the process of returning the salvage value of traditional circuit</w:t>
      </w:r>
      <w:r w:rsidRPr="00A42D23">
        <w:rPr>
          <w:rFonts w:ascii="Cambria Math" w:hAnsi="Cambria Math" w:cs="Cambria Math"/>
        </w:rPr>
        <w:t>‑</w:t>
      </w:r>
      <w:r w:rsidRPr="00A42D23">
        <w:rPr>
          <w:rFonts w:asciiTheme="majorHAnsi" w:hAnsiTheme="majorHAnsi" w:cstheme="majorHAnsi"/>
        </w:rPr>
        <w:t xml:space="preserve">switched networks </w:t>
      </w:r>
      <w:r w:rsidR="00497956">
        <w:rPr>
          <w:rFonts w:asciiTheme="majorHAnsi" w:hAnsiTheme="majorHAnsi" w:cstheme="majorHAnsi"/>
        </w:rPr>
        <w:t>to</w:t>
      </w:r>
      <w:r w:rsidRPr="00A42D23">
        <w:rPr>
          <w:rFonts w:asciiTheme="majorHAnsi" w:hAnsiTheme="majorHAnsi" w:cstheme="majorHAnsi"/>
        </w:rPr>
        <w:t xml:space="preserve"> Illinois</w:t>
      </w:r>
      <w:r w:rsidR="00497956">
        <w:rPr>
          <w:rFonts w:asciiTheme="majorHAnsi" w:hAnsiTheme="majorHAnsi" w:cstheme="majorHAnsi"/>
        </w:rPr>
        <w:t xml:space="preserve"> residents</w:t>
      </w:r>
      <w:r w:rsidRPr="00A42D23">
        <w:rPr>
          <w:rFonts w:asciiTheme="majorHAnsi" w:hAnsiTheme="majorHAnsi" w:cstheme="majorHAnsi"/>
        </w:rPr>
        <w:t>; requires completion of salvage by January 1, 2038.</w:t>
      </w:r>
    </w:p>
    <w:p w14:paraId="39B60AED" w14:textId="77777777" w:rsidR="00192C69" w:rsidRPr="00A42D23" w:rsidRDefault="00192C69" w:rsidP="00192C69">
      <w:pPr>
        <w:pStyle w:val="ListParagraph"/>
        <w:numPr>
          <w:ilvl w:val="0"/>
          <w:numId w:val="22"/>
        </w:numPr>
        <w:rPr>
          <w:rFonts w:asciiTheme="majorHAnsi" w:hAnsiTheme="majorHAnsi" w:cstheme="majorHAnsi"/>
        </w:rPr>
      </w:pPr>
      <w:r w:rsidRPr="00A42D23">
        <w:rPr>
          <w:rFonts w:asciiTheme="majorHAnsi" w:hAnsiTheme="majorHAnsi" w:cstheme="majorHAnsi"/>
        </w:rPr>
        <w:t>Requires quarterly documentation and reporting to the Department of Public Health and the Illinois Commerce Commission regarding salvage activities, including total realized salvage value, per</w:t>
      </w:r>
      <w:r w:rsidRPr="00A42D23">
        <w:rPr>
          <w:rFonts w:ascii="Cambria Math" w:hAnsi="Cambria Math" w:cs="Cambria Math"/>
        </w:rPr>
        <w:t>‑</w:t>
      </w:r>
      <w:r w:rsidRPr="00A42D23">
        <w:rPr>
          <w:rFonts w:asciiTheme="majorHAnsi" w:hAnsiTheme="majorHAnsi" w:cstheme="majorHAnsi"/>
        </w:rPr>
        <w:t>mile salvage value, geographic location of salvages, and the value of the salvages.</w:t>
      </w:r>
    </w:p>
    <w:p w14:paraId="17CDF4DA" w14:textId="77777777" w:rsidR="00192C69" w:rsidRPr="00A42D23" w:rsidRDefault="00192C69" w:rsidP="00192C69">
      <w:pPr>
        <w:pStyle w:val="ListParagraph"/>
        <w:numPr>
          <w:ilvl w:val="0"/>
          <w:numId w:val="22"/>
        </w:numPr>
        <w:rPr>
          <w:rFonts w:asciiTheme="majorHAnsi" w:hAnsiTheme="majorHAnsi" w:cstheme="majorHAnsi"/>
        </w:rPr>
      </w:pPr>
      <w:r w:rsidRPr="00A42D23">
        <w:rPr>
          <w:rFonts w:asciiTheme="majorHAnsi" w:hAnsiTheme="majorHAnsi" w:cstheme="majorHAnsi"/>
        </w:rPr>
        <w:t>Defines “salvage value” as the monetary value received by a Large Electing Provider for components of a traditional circuit</w:t>
      </w:r>
      <w:r w:rsidRPr="00A42D23">
        <w:rPr>
          <w:rFonts w:ascii="Cambria Math" w:hAnsi="Cambria Math" w:cs="Cambria Math"/>
        </w:rPr>
        <w:t>‑</w:t>
      </w:r>
      <w:r w:rsidRPr="00A42D23">
        <w:rPr>
          <w:rFonts w:asciiTheme="majorHAnsi" w:hAnsiTheme="majorHAnsi" w:cstheme="majorHAnsi"/>
        </w:rPr>
        <w:t>switched network (including copper wiring) once the network is no longer in use.</w:t>
      </w:r>
    </w:p>
    <w:p w14:paraId="3C52F89D" w14:textId="77777777" w:rsidR="00347D67" w:rsidRPr="0050507C" w:rsidRDefault="00C14D05" w:rsidP="00480EC9">
      <w:pPr>
        <w:spacing w:after="0"/>
        <w:rPr>
          <w:rFonts w:asciiTheme="majorHAnsi" w:hAnsiTheme="majorHAnsi" w:cstheme="majorHAnsi"/>
          <w:b/>
          <w:bCs/>
          <w:color w:val="00B050"/>
        </w:rPr>
      </w:pPr>
      <w:hyperlink r:id="rId11">
        <w:r w:rsidRPr="0050507C">
          <w:rPr>
            <w:rFonts w:asciiTheme="majorHAnsi" w:hAnsiTheme="majorHAnsi" w:cstheme="majorHAnsi"/>
            <w:b/>
            <w:bCs/>
            <w:color w:val="00B050"/>
            <w:u w:val="single"/>
          </w:rPr>
          <w:t>HB 4943 – Telecommunications Theft (Rep. Hoffman)</w:t>
        </w:r>
      </w:hyperlink>
    </w:p>
    <w:p w14:paraId="0768553F" w14:textId="3EBBE182" w:rsidR="000503AF" w:rsidRPr="00480EC9" w:rsidRDefault="000503AF" w:rsidP="000503AF">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Pr="00480EC9">
        <w:rPr>
          <w:rFonts w:asciiTheme="majorHAnsi" w:hAnsiTheme="majorHAnsi" w:cstheme="majorHAnsi"/>
        </w:rPr>
        <w:t>Amends the Recyclable Metal Purchase Registration Law to specifically address theft and trafficking of telecommunications wire and related network equipment. The bill (1) expands definitions so that “recyclable metal” and “telecommunications wire” encompass a broad range of wire and components used in wireline and wireless network facilities (including fiber/copper cable and related structures), (2) makes it a violation for a person to possess or transact in telecommunications wire unless the seller is an authorized agent/employee/contractor of specified utility or communications entities, and (3) directs the Recyclable Metal Theft Task Force to evaluate and develop solutions targeted at telecommunications wire and equipment theft, including adding a wireless carrier representative and requiring annual reporting. The bill becomes effective July 1, 2027.</w:t>
      </w:r>
    </w:p>
    <w:p w14:paraId="489B0390" w14:textId="77777777" w:rsidR="000503AF" w:rsidRPr="00480EC9" w:rsidRDefault="000503AF" w:rsidP="000503AF">
      <w:pPr>
        <w:spacing w:after="0"/>
        <w:rPr>
          <w:rFonts w:asciiTheme="majorHAnsi" w:hAnsiTheme="majorHAnsi" w:cstheme="majorHAnsi"/>
        </w:rPr>
      </w:pPr>
      <w:r w:rsidRPr="00480EC9">
        <w:rPr>
          <w:rFonts w:asciiTheme="majorHAnsi" w:hAnsiTheme="majorHAnsi" w:cstheme="majorHAnsi"/>
        </w:rPr>
        <w:t>Key Statutory Provisions:</w:t>
      </w:r>
    </w:p>
    <w:p w14:paraId="7DE4958F"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Defines “burned wire” as coated metal wire that has been smelted, burned, or melted to remove protective coating or identifying marks.</w:t>
      </w:r>
    </w:p>
    <w:p w14:paraId="454A7E84"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Expands the definition of “recyclable metal” to include specified metals found in telecommunications wire and other equipment used to provide telecommunications service (Public Utilities Act §13</w:t>
      </w:r>
      <w:r w:rsidRPr="00A42D23">
        <w:rPr>
          <w:rFonts w:ascii="Cambria Math" w:hAnsi="Cambria Math" w:cs="Cambria Math"/>
        </w:rPr>
        <w:t>‑</w:t>
      </w:r>
      <w:r w:rsidRPr="00A42D23">
        <w:rPr>
          <w:rFonts w:asciiTheme="majorHAnsi" w:hAnsiTheme="majorHAnsi" w:cstheme="majorHAnsi"/>
        </w:rPr>
        <w:t xml:space="preserve">203) and broadband, interconnected VoIP, or wireless services (Public Utilities Act </w:t>
      </w:r>
      <w:r w:rsidRPr="00A42D23">
        <w:rPr>
          <w:rFonts w:ascii="Calibri" w:hAnsi="Calibri" w:cs="Calibri"/>
        </w:rPr>
        <w:t>§</w:t>
      </w:r>
      <w:r w:rsidRPr="00A42D23">
        <w:rPr>
          <w:rFonts w:asciiTheme="majorHAnsi" w:hAnsiTheme="majorHAnsi" w:cstheme="majorHAnsi"/>
        </w:rPr>
        <w:t>13</w:t>
      </w:r>
      <w:r w:rsidRPr="00A42D23">
        <w:rPr>
          <w:rFonts w:ascii="Cambria Math" w:hAnsi="Cambria Math" w:cs="Cambria Math"/>
        </w:rPr>
        <w:t>‑</w:t>
      </w:r>
      <w:r w:rsidRPr="00A42D23">
        <w:rPr>
          <w:rFonts w:asciiTheme="majorHAnsi" w:hAnsiTheme="majorHAnsi" w:cstheme="majorHAnsi"/>
        </w:rPr>
        <w:t>804).</w:t>
      </w:r>
    </w:p>
    <w:p w14:paraId="55E479A0"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Defines “telecommunications wire” to include wire used in wireline communications network facilities or wireless communications network facilities, including fiber, copper cable (sheathed or unsheathed), and twisted</w:t>
      </w:r>
      <w:r w:rsidRPr="00A42D23">
        <w:rPr>
          <w:rFonts w:ascii="Cambria Math" w:hAnsi="Cambria Math" w:cs="Cambria Math"/>
        </w:rPr>
        <w:t>‑</w:t>
      </w:r>
      <w:r w:rsidRPr="00A42D23">
        <w:rPr>
          <w:rFonts w:asciiTheme="majorHAnsi" w:hAnsiTheme="majorHAnsi" w:cstheme="majorHAnsi"/>
        </w:rPr>
        <w:t>pair wire; includes related structures and equipment (e.g., towers, antennae, buss bars, copper ground supports, burned wire, and associated aerial/ground cable lines or equipment used as part of a telecommunications or broadband network).</w:t>
      </w:r>
    </w:p>
    <w:p w14:paraId="391AC9A4"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 xml:space="preserve">Adds telecommunications wire to the Act’s list of restricted purchase items and makes it a violation for any person to possess/purchase/sell or for a recyclable metal dealer to purchase telecommunications wire in any amount unless the seller is an authorized </w:t>
      </w:r>
      <w:r w:rsidRPr="00A42D23">
        <w:rPr>
          <w:rFonts w:asciiTheme="majorHAnsi" w:hAnsiTheme="majorHAnsi" w:cstheme="majorHAnsi"/>
        </w:rPr>
        <w:lastRenderedPageBreak/>
        <w:t>agent, representative, or employee of a licensed contractor of a public utility or a provider of telecommunications, broadband, interconnected VoIP, or wireless services as described in the Public Utilities Act.</w:t>
      </w:r>
    </w:p>
    <w:p w14:paraId="53B65C3D"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Directs the Recyclable Metal Theft Task Force to review the effectiveness of its efforts specifically for telecommunications wires, burned wire, and equipment used to provide telecommunications/broadband/VoIP/wireless services, and to consider and develop long</w:t>
      </w:r>
      <w:r w:rsidRPr="00A42D23">
        <w:rPr>
          <w:rFonts w:ascii="Cambria Math" w:hAnsi="Cambria Math" w:cs="Cambria Math"/>
        </w:rPr>
        <w:t>‑</w:t>
      </w:r>
      <w:r w:rsidRPr="00A42D23">
        <w:rPr>
          <w:rFonts w:asciiTheme="majorHAnsi" w:hAnsiTheme="majorHAnsi" w:cstheme="majorHAnsi"/>
        </w:rPr>
        <w:t>term legislative and enforcement solutions to address theft of those assets.</w:t>
      </w:r>
    </w:p>
    <w:p w14:paraId="15FD6AD4"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Adds a representative of a wireless telecommunications carrier to the Task Force’s public membership and requires the Task Force to report findings and recommendations annually by October 31 to the General Assembly and the Governor.</w:t>
      </w:r>
    </w:p>
    <w:p w14:paraId="35F7F240" w14:textId="77777777" w:rsidR="000503AF" w:rsidRPr="00A42D23" w:rsidRDefault="000503AF" w:rsidP="000503AF">
      <w:pPr>
        <w:pStyle w:val="ListParagraph"/>
        <w:numPr>
          <w:ilvl w:val="0"/>
          <w:numId w:val="17"/>
        </w:numPr>
        <w:rPr>
          <w:rFonts w:asciiTheme="majorHAnsi" w:hAnsiTheme="majorHAnsi" w:cstheme="majorHAnsi"/>
        </w:rPr>
      </w:pPr>
      <w:r w:rsidRPr="00A42D23">
        <w:rPr>
          <w:rFonts w:asciiTheme="majorHAnsi" w:hAnsiTheme="majorHAnsi" w:cstheme="majorHAnsi"/>
        </w:rPr>
        <w:t>Effective July 1, 2027.</w:t>
      </w:r>
    </w:p>
    <w:p w14:paraId="5364F775" w14:textId="77777777" w:rsidR="00347D67" w:rsidRPr="0050507C" w:rsidRDefault="00C14D05" w:rsidP="00480EC9">
      <w:pPr>
        <w:spacing w:after="0"/>
        <w:rPr>
          <w:rFonts w:asciiTheme="majorHAnsi" w:hAnsiTheme="majorHAnsi" w:cstheme="majorHAnsi"/>
          <w:b/>
          <w:bCs/>
          <w:color w:val="EE0000"/>
        </w:rPr>
      </w:pPr>
      <w:hyperlink r:id="rId12">
        <w:r w:rsidRPr="0050507C">
          <w:rPr>
            <w:rFonts w:asciiTheme="majorHAnsi" w:hAnsiTheme="majorHAnsi" w:cstheme="majorHAnsi"/>
            <w:b/>
            <w:bCs/>
            <w:color w:val="EE0000"/>
            <w:u w:val="single"/>
          </w:rPr>
          <w:t>SB 3612 – Low-Income Broadband Rates (Sen. Ventura)</w:t>
        </w:r>
      </w:hyperlink>
    </w:p>
    <w:p w14:paraId="63761EEA" w14:textId="311D3C64" w:rsidR="00347D67" w:rsidRPr="00480EC9" w:rsidRDefault="00C14D05">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Pr="00480EC9">
        <w:rPr>
          <w:rFonts w:asciiTheme="majorHAnsi" w:hAnsiTheme="majorHAnsi" w:cstheme="majorHAnsi"/>
        </w:rPr>
        <w:t>This legislation requires broadband providers to offer reduced-rate broadband service to qualifying low-income consumers</w:t>
      </w:r>
      <w:r w:rsidR="00940325">
        <w:rPr>
          <w:rFonts w:asciiTheme="majorHAnsi" w:hAnsiTheme="majorHAnsi" w:cstheme="majorHAnsi"/>
        </w:rPr>
        <w:t xml:space="preserve"> beginning January 1, 2027</w:t>
      </w:r>
      <w:r w:rsidR="00E5774F">
        <w:rPr>
          <w:rFonts w:asciiTheme="majorHAnsi" w:hAnsiTheme="majorHAnsi" w:cstheme="majorHAnsi"/>
        </w:rPr>
        <w:t>.</w:t>
      </w:r>
    </w:p>
    <w:p w14:paraId="458CE7ED" w14:textId="77777777" w:rsidR="00347D67" w:rsidRPr="00480EC9" w:rsidRDefault="00C14D05" w:rsidP="00480EC9">
      <w:pPr>
        <w:spacing w:after="0"/>
        <w:rPr>
          <w:rFonts w:asciiTheme="majorHAnsi" w:hAnsiTheme="majorHAnsi" w:cstheme="majorHAnsi"/>
        </w:rPr>
      </w:pPr>
      <w:r w:rsidRPr="00480EC9">
        <w:rPr>
          <w:rFonts w:asciiTheme="majorHAnsi" w:hAnsiTheme="majorHAnsi" w:cstheme="majorHAnsi"/>
        </w:rPr>
        <w:t>Key Statutory Provisions:</w:t>
      </w:r>
    </w:p>
    <w:p w14:paraId="23332294" w14:textId="5E98B70B" w:rsidR="00347D67" w:rsidRPr="00480EC9" w:rsidRDefault="00C14D05" w:rsidP="00480EC9">
      <w:pPr>
        <w:pStyle w:val="ListParagraph"/>
        <w:numPr>
          <w:ilvl w:val="0"/>
          <w:numId w:val="13"/>
        </w:numPr>
        <w:rPr>
          <w:rFonts w:asciiTheme="majorHAnsi" w:hAnsiTheme="majorHAnsi" w:cstheme="majorHAnsi"/>
        </w:rPr>
      </w:pPr>
      <w:r w:rsidRPr="00480EC9">
        <w:rPr>
          <w:rFonts w:asciiTheme="majorHAnsi" w:hAnsiTheme="majorHAnsi" w:cstheme="majorHAnsi"/>
        </w:rPr>
        <w:t xml:space="preserve">Requires </w:t>
      </w:r>
      <w:r w:rsidR="00B23860">
        <w:rPr>
          <w:rFonts w:asciiTheme="majorHAnsi" w:hAnsiTheme="majorHAnsi" w:cstheme="majorHAnsi"/>
        </w:rPr>
        <w:t xml:space="preserve">the ICC to </w:t>
      </w:r>
      <w:r w:rsidR="00DE0F28">
        <w:rPr>
          <w:rFonts w:asciiTheme="majorHAnsi" w:hAnsiTheme="majorHAnsi" w:cstheme="majorHAnsi"/>
        </w:rPr>
        <w:t xml:space="preserve">establish </w:t>
      </w:r>
      <w:r w:rsidR="00940325">
        <w:rPr>
          <w:rFonts w:asciiTheme="majorHAnsi" w:hAnsiTheme="majorHAnsi" w:cstheme="majorHAnsi"/>
        </w:rPr>
        <w:t xml:space="preserve">and implement </w:t>
      </w:r>
      <w:r w:rsidR="00DE0F28">
        <w:rPr>
          <w:rFonts w:asciiTheme="majorHAnsi" w:hAnsiTheme="majorHAnsi" w:cstheme="majorHAnsi"/>
        </w:rPr>
        <w:t xml:space="preserve">rules to ensure low-income broadband rates are developed </w:t>
      </w:r>
      <w:r w:rsidR="00AB1D74">
        <w:rPr>
          <w:rFonts w:asciiTheme="majorHAnsi" w:hAnsiTheme="majorHAnsi" w:cstheme="majorHAnsi"/>
        </w:rPr>
        <w:t xml:space="preserve">by </w:t>
      </w:r>
      <w:r w:rsidR="00FF32BF">
        <w:rPr>
          <w:rFonts w:asciiTheme="majorHAnsi" w:hAnsiTheme="majorHAnsi" w:cstheme="majorHAnsi"/>
        </w:rPr>
        <w:t>broadband providers,</w:t>
      </w:r>
      <w:r w:rsidR="00752EB0">
        <w:rPr>
          <w:rFonts w:asciiTheme="majorHAnsi" w:hAnsiTheme="majorHAnsi" w:cstheme="majorHAnsi"/>
        </w:rPr>
        <w:t xml:space="preserve"> including, but not limited to, rules</w:t>
      </w:r>
      <w:r w:rsidR="00AC78A6">
        <w:rPr>
          <w:rFonts w:asciiTheme="majorHAnsi" w:hAnsiTheme="majorHAnsi" w:cstheme="majorHAnsi"/>
        </w:rPr>
        <w:t xml:space="preserve"> establishing minimum Internet service speeds at affordable rates and setting a maxim</w:t>
      </w:r>
      <w:r w:rsidR="00657567">
        <w:rPr>
          <w:rFonts w:asciiTheme="majorHAnsi" w:hAnsiTheme="majorHAnsi" w:cstheme="majorHAnsi"/>
        </w:rPr>
        <w:t>um low-income rate for broadband service</w:t>
      </w:r>
      <w:r w:rsidRPr="00480EC9">
        <w:rPr>
          <w:rFonts w:asciiTheme="majorHAnsi" w:hAnsiTheme="majorHAnsi" w:cstheme="majorHAnsi"/>
        </w:rPr>
        <w:t>.</w:t>
      </w:r>
    </w:p>
    <w:p w14:paraId="61FACCE1" w14:textId="77777777" w:rsidR="00347D67" w:rsidRPr="0050507C" w:rsidRDefault="00C14D05" w:rsidP="00480EC9">
      <w:pPr>
        <w:spacing w:after="0"/>
        <w:rPr>
          <w:rFonts w:asciiTheme="majorHAnsi" w:hAnsiTheme="majorHAnsi" w:cstheme="majorHAnsi"/>
          <w:b/>
          <w:bCs/>
          <w:color w:val="00B050"/>
        </w:rPr>
      </w:pPr>
      <w:hyperlink r:id="rId13">
        <w:r w:rsidRPr="0050507C">
          <w:rPr>
            <w:rFonts w:asciiTheme="majorHAnsi" w:hAnsiTheme="majorHAnsi" w:cstheme="majorHAnsi"/>
            <w:b/>
            <w:bCs/>
            <w:color w:val="00B050"/>
            <w:u w:val="single"/>
          </w:rPr>
          <w:t>HB 4661 – District Office Utility Bills (Rep. Williams, A.)</w:t>
        </w:r>
      </w:hyperlink>
    </w:p>
    <w:p w14:paraId="6D92BC69" w14:textId="5E410E7A" w:rsidR="00347D67" w:rsidRPr="00480EC9" w:rsidRDefault="00C14D05">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00DC6FB9">
        <w:rPr>
          <w:rFonts w:asciiTheme="majorHAnsi" w:hAnsiTheme="majorHAnsi" w:cstheme="majorHAnsi"/>
        </w:rPr>
        <w:t>A</w:t>
      </w:r>
      <w:r w:rsidRPr="00480EC9">
        <w:rPr>
          <w:rFonts w:asciiTheme="majorHAnsi" w:hAnsiTheme="majorHAnsi" w:cstheme="majorHAnsi"/>
        </w:rPr>
        <w:t>uthorize</w:t>
      </w:r>
      <w:r w:rsidR="00DC6FB9">
        <w:rPr>
          <w:rFonts w:asciiTheme="majorHAnsi" w:hAnsiTheme="majorHAnsi" w:cstheme="majorHAnsi"/>
        </w:rPr>
        <w:t>s the</w:t>
      </w:r>
      <w:r w:rsidRPr="00480EC9">
        <w:rPr>
          <w:rFonts w:asciiTheme="majorHAnsi" w:hAnsiTheme="majorHAnsi" w:cstheme="majorHAnsi"/>
        </w:rPr>
        <w:t xml:space="preserve"> payment of utility bills incurred in the immediately preceding fiscal year from current-year </w:t>
      </w:r>
      <w:r w:rsidR="00F71D7E" w:rsidRPr="00480EC9">
        <w:rPr>
          <w:rFonts w:asciiTheme="majorHAnsi" w:hAnsiTheme="majorHAnsi" w:cstheme="majorHAnsi"/>
        </w:rPr>
        <w:t>appropriations and</w:t>
      </w:r>
      <w:r w:rsidRPr="00480EC9">
        <w:rPr>
          <w:rFonts w:asciiTheme="majorHAnsi" w:hAnsiTheme="majorHAnsi" w:cstheme="majorHAnsi"/>
        </w:rPr>
        <w:t xml:space="preserve"> provides a retroactive authorization for certain district office utility bills incurred in fiscal years 2015–2017 (including interest and penalties) to be paid from appropriations in any fiscal year. The intent is to avoid lapsing or timing issues that can prevent reimbursement/payment of district office utility expenses.</w:t>
      </w:r>
    </w:p>
    <w:p w14:paraId="3152FED5"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5807006D" w14:textId="77777777" w:rsidR="00347D67" w:rsidRPr="00A42D23" w:rsidRDefault="00C14D05" w:rsidP="00A42D23">
      <w:pPr>
        <w:pStyle w:val="ListParagraph"/>
        <w:numPr>
          <w:ilvl w:val="0"/>
          <w:numId w:val="14"/>
        </w:numPr>
        <w:rPr>
          <w:rFonts w:asciiTheme="majorHAnsi" w:hAnsiTheme="majorHAnsi" w:cstheme="majorHAnsi"/>
        </w:rPr>
      </w:pPr>
      <w:r w:rsidRPr="00A42D23">
        <w:rPr>
          <w:rFonts w:asciiTheme="majorHAnsi" w:hAnsiTheme="majorHAnsi" w:cstheme="majorHAnsi"/>
        </w:rPr>
        <w:t>Authorizes payment of a district office utility bill that spans portions of two consecutive fiscal years from appropriations in either fiscal year.</w:t>
      </w:r>
    </w:p>
    <w:p w14:paraId="1FA847A4" w14:textId="77777777" w:rsidR="00347D67" w:rsidRPr="00A42D23" w:rsidRDefault="00C14D05" w:rsidP="00A42D23">
      <w:pPr>
        <w:pStyle w:val="ListParagraph"/>
        <w:numPr>
          <w:ilvl w:val="0"/>
          <w:numId w:val="14"/>
        </w:numPr>
        <w:rPr>
          <w:rFonts w:asciiTheme="majorHAnsi" w:hAnsiTheme="majorHAnsi" w:cstheme="majorHAnsi"/>
        </w:rPr>
      </w:pPr>
      <w:r w:rsidRPr="00A42D23">
        <w:rPr>
          <w:rFonts w:asciiTheme="majorHAnsi" w:hAnsiTheme="majorHAnsi" w:cstheme="majorHAnsi"/>
        </w:rPr>
        <w:t>Authorizes payment of any utility bill for district office service provided in the immediately preceding fiscal year from funds appropriated for the current fiscal year.</w:t>
      </w:r>
    </w:p>
    <w:p w14:paraId="15D12397" w14:textId="77777777" w:rsidR="00347D67" w:rsidRPr="00A42D23" w:rsidRDefault="00C14D05" w:rsidP="00A42D23">
      <w:pPr>
        <w:pStyle w:val="ListParagraph"/>
        <w:numPr>
          <w:ilvl w:val="0"/>
          <w:numId w:val="14"/>
        </w:numPr>
        <w:rPr>
          <w:rFonts w:asciiTheme="majorHAnsi" w:hAnsiTheme="majorHAnsi" w:cstheme="majorHAnsi"/>
        </w:rPr>
      </w:pPr>
      <w:r w:rsidRPr="00A42D23">
        <w:rPr>
          <w:rFonts w:asciiTheme="majorHAnsi" w:hAnsiTheme="majorHAnsi" w:cstheme="majorHAnsi"/>
        </w:rPr>
        <w:t>Authorizes payment of any district office utility bill incurred in fiscal years 2015 through 2017, including interest and penalties, from funds appropriated for such expenditures in any fiscal year.</w:t>
      </w:r>
    </w:p>
    <w:p w14:paraId="360C8A79" w14:textId="77777777" w:rsidR="00347D67" w:rsidRPr="0050507C" w:rsidRDefault="00C14D05" w:rsidP="00A42D23">
      <w:pPr>
        <w:spacing w:after="0"/>
        <w:rPr>
          <w:rFonts w:asciiTheme="majorHAnsi" w:hAnsiTheme="majorHAnsi" w:cstheme="majorHAnsi"/>
          <w:b/>
          <w:bCs/>
        </w:rPr>
      </w:pPr>
      <w:hyperlink r:id="rId14">
        <w:r w:rsidRPr="0050507C">
          <w:rPr>
            <w:rFonts w:asciiTheme="majorHAnsi" w:hAnsiTheme="majorHAnsi" w:cstheme="majorHAnsi"/>
            <w:b/>
            <w:bCs/>
            <w:color w:val="0000FF"/>
            <w:u w:val="single"/>
          </w:rPr>
          <w:t>HB 4731 – Utilities – Excavation (Rep. Walsh, Jr.)</w:t>
        </w:r>
      </w:hyperlink>
    </w:p>
    <w:p w14:paraId="1A291C13" w14:textId="677A450F" w:rsidR="00347D67" w:rsidRPr="00480EC9" w:rsidRDefault="00C14D05">
      <w:pPr>
        <w:rPr>
          <w:rFonts w:asciiTheme="majorHAnsi" w:hAnsiTheme="majorHAnsi" w:cstheme="majorHAnsi"/>
        </w:rPr>
      </w:pPr>
      <w:r w:rsidRPr="00480EC9">
        <w:rPr>
          <w:rFonts w:asciiTheme="majorHAnsi" w:hAnsiTheme="majorHAnsi" w:cstheme="majorHAnsi"/>
        </w:rPr>
        <w:t>Summary:</w:t>
      </w:r>
      <w:r w:rsidR="003C608F">
        <w:rPr>
          <w:rFonts w:asciiTheme="majorHAnsi" w:hAnsiTheme="majorHAnsi" w:cstheme="majorHAnsi"/>
        </w:rPr>
        <w:t xml:space="preserve"> </w:t>
      </w:r>
      <w:r w:rsidRPr="00480EC9">
        <w:rPr>
          <w:rFonts w:asciiTheme="majorHAnsi" w:hAnsiTheme="majorHAnsi" w:cstheme="majorHAnsi"/>
        </w:rPr>
        <w:t xml:space="preserve">Amends the Illinois Underground Utility Facilities Damage Prevention Act to narrow the definition of “excavation” for a specific, limited type of connection work performed by communications service providers. The bill provides that certain shallow, hand-tool-only digging performed by a communications service provider to connect a customer’s home or business to </w:t>
      </w:r>
      <w:r w:rsidRPr="00480EC9">
        <w:rPr>
          <w:rFonts w:asciiTheme="majorHAnsi" w:hAnsiTheme="majorHAnsi" w:cstheme="majorHAnsi"/>
        </w:rPr>
        <w:lastRenderedPageBreak/>
        <w:t xml:space="preserve">the provider’s own communications network is not treated as an “excavation” under the Act—while clarifying that the exclusion does not prohibit requesting markings and does not eliminate liability for damage. </w:t>
      </w:r>
    </w:p>
    <w:p w14:paraId="3626CFC2"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09FD0A90" w14:textId="77777777" w:rsidR="00347D67" w:rsidRPr="00A42D23" w:rsidRDefault="00C14D05" w:rsidP="00A42D23">
      <w:pPr>
        <w:pStyle w:val="ListParagraph"/>
        <w:numPr>
          <w:ilvl w:val="0"/>
          <w:numId w:val="15"/>
        </w:numPr>
        <w:rPr>
          <w:rFonts w:asciiTheme="majorHAnsi" w:hAnsiTheme="majorHAnsi" w:cstheme="majorHAnsi"/>
        </w:rPr>
      </w:pPr>
      <w:r w:rsidRPr="00A42D23">
        <w:rPr>
          <w:rFonts w:asciiTheme="majorHAnsi" w:hAnsiTheme="majorHAnsi" w:cstheme="majorHAnsi"/>
        </w:rPr>
        <w:t>Excludes from the definition of “excavation” an operation performed to connect a communications service customer’s home or business to the communications service provider’s own communications network when the work is: (</w:t>
      </w:r>
      <w:proofErr w:type="spellStart"/>
      <w:r w:rsidRPr="00A42D23">
        <w:rPr>
          <w:rFonts w:asciiTheme="majorHAnsi" w:hAnsiTheme="majorHAnsi" w:cstheme="majorHAnsi"/>
        </w:rPr>
        <w:t>i</w:t>
      </w:r>
      <w:proofErr w:type="spellEnd"/>
      <w:r w:rsidRPr="00A42D23">
        <w:rPr>
          <w:rFonts w:asciiTheme="majorHAnsi" w:hAnsiTheme="majorHAnsi" w:cstheme="majorHAnsi"/>
        </w:rPr>
        <w:t>) performed only with a hand tool, (ii) performed by a communications service provider, and (iii) limited to a depth not greater than 12 inches.</w:t>
      </w:r>
    </w:p>
    <w:p w14:paraId="4B8AFBEC" w14:textId="77777777" w:rsidR="00347D67" w:rsidRPr="00A42D23" w:rsidRDefault="00C14D05" w:rsidP="00A42D23">
      <w:pPr>
        <w:pStyle w:val="ListParagraph"/>
        <w:numPr>
          <w:ilvl w:val="0"/>
          <w:numId w:val="15"/>
        </w:numPr>
        <w:rPr>
          <w:rFonts w:asciiTheme="majorHAnsi" w:hAnsiTheme="majorHAnsi" w:cstheme="majorHAnsi"/>
        </w:rPr>
      </w:pPr>
      <w:r w:rsidRPr="00A42D23">
        <w:rPr>
          <w:rFonts w:asciiTheme="majorHAnsi" w:hAnsiTheme="majorHAnsi" w:cstheme="majorHAnsi"/>
        </w:rPr>
        <w:t>Provides that an exclusion from the definition does not prohibit an excavator from requesting facility marking through JULIE.</w:t>
      </w:r>
    </w:p>
    <w:p w14:paraId="52C65804" w14:textId="3841A341" w:rsidR="00347D67" w:rsidRPr="00E5774F" w:rsidRDefault="00C14D05" w:rsidP="00E5774F">
      <w:pPr>
        <w:pStyle w:val="ListParagraph"/>
        <w:numPr>
          <w:ilvl w:val="0"/>
          <w:numId w:val="15"/>
        </w:numPr>
        <w:rPr>
          <w:rFonts w:asciiTheme="majorHAnsi" w:hAnsiTheme="majorHAnsi" w:cstheme="majorHAnsi"/>
        </w:rPr>
      </w:pPr>
      <w:r w:rsidRPr="00A42D23">
        <w:rPr>
          <w:rFonts w:asciiTheme="majorHAnsi" w:hAnsiTheme="majorHAnsi" w:cstheme="majorHAnsi"/>
        </w:rPr>
        <w:t>Clarifies that the exception is not intended to remove liability for damage to underground facilities that may be imposed on the individual or entity performing the work.</w:t>
      </w:r>
    </w:p>
    <w:p w14:paraId="031909EA" w14:textId="77777777" w:rsidR="00347D67" w:rsidRPr="0050507C" w:rsidRDefault="00C14D05" w:rsidP="00A42D23">
      <w:pPr>
        <w:spacing w:after="0"/>
        <w:rPr>
          <w:rFonts w:asciiTheme="majorHAnsi" w:hAnsiTheme="majorHAnsi" w:cstheme="majorHAnsi"/>
          <w:b/>
          <w:bCs/>
          <w:color w:val="EE0000"/>
        </w:rPr>
      </w:pPr>
      <w:hyperlink r:id="rId15">
        <w:r w:rsidRPr="0050507C">
          <w:rPr>
            <w:rFonts w:asciiTheme="majorHAnsi" w:hAnsiTheme="majorHAnsi" w:cstheme="majorHAnsi"/>
            <w:b/>
            <w:bCs/>
            <w:color w:val="EE0000"/>
            <w:u w:val="single"/>
          </w:rPr>
          <w:t>SB 3573 – Fiber Optic Excavation Crews (Sen. McClure)</w:t>
        </w:r>
      </w:hyperlink>
    </w:p>
    <w:p w14:paraId="729DFC5E" w14:textId="12AB9A96" w:rsidR="00347D67" w:rsidRPr="00480EC9" w:rsidRDefault="00C14D05">
      <w:pPr>
        <w:rPr>
          <w:rFonts w:asciiTheme="majorHAnsi" w:hAnsiTheme="majorHAnsi" w:cstheme="majorHAnsi"/>
        </w:rPr>
      </w:pPr>
      <w:r w:rsidRPr="00480EC9">
        <w:rPr>
          <w:rFonts w:asciiTheme="majorHAnsi" w:hAnsiTheme="majorHAnsi" w:cstheme="majorHAnsi"/>
        </w:rPr>
        <w:t>Summary:</w:t>
      </w:r>
      <w:r w:rsidR="00375502">
        <w:rPr>
          <w:rFonts w:asciiTheme="majorHAnsi" w:hAnsiTheme="majorHAnsi" w:cstheme="majorHAnsi"/>
        </w:rPr>
        <w:t xml:space="preserve"> </w:t>
      </w:r>
      <w:r w:rsidRPr="00480EC9">
        <w:rPr>
          <w:rFonts w:asciiTheme="majorHAnsi" w:hAnsiTheme="majorHAnsi" w:cstheme="majorHAnsi"/>
        </w:rPr>
        <w:t>Amends the Illinois Underground Utility Facilities Damage Prevention Act by creating new Section 4.2 regulating “fiber optic excavation crews.” The bill establishes training, mapping, bonding, and restoration requirements for crews that excavate underground fiber optic conduit, ducts, cable lines, wires, or related facilities. It also establishes a graduated enforcement framework, including warning letters and fines, and allows the Commerce Commission to use arbitration for repeat violators.</w:t>
      </w:r>
    </w:p>
    <w:p w14:paraId="31E7A25B"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1E4C3F5F" w14:textId="77777777" w:rsidR="00347D67" w:rsidRPr="00A42D23" w:rsidRDefault="00C14D05" w:rsidP="00A42D23">
      <w:pPr>
        <w:pStyle w:val="ListParagraph"/>
        <w:numPr>
          <w:ilvl w:val="0"/>
          <w:numId w:val="16"/>
        </w:numPr>
        <w:rPr>
          <w:rFonts w:asciiTheme="majorHAnsi" w:hAnsiTheme="majorHAnsi" w:cstheme="majorHAnsi"/>
        </w:rPr>
      </w:pPr>
      <w:r w:rsidRPr="00A42D23">
        <w:rPr>
          <w:rFonts w:asciiTheme="majorHAnsi" w:hAnsiTheme="majorHAnsi" w:cstheme="majorHAnsi"/>
        </w:rPr>
        <w:t>Defines “fiber optic excavation crew” as a group assembled or employed to excavate underground fiber optic conduit, ducts, cable lines, wires, or related facilities.</w:t>
      </w:r>
    </w:p>
    <w:p w14:paraId="6E27EFD5" w14:textId="77777777" w:rsidR="00347D67" w:rsidRPr="00A42D23" w:rsidRDefault="00C14D05" w:rsidP="00A42D23">
      <w:pPr>
        <w:pStyle w:val="ListParagraph"/>
        <w:numPr>
          <w:ilvl w:val="0"/>
          <w:numId w:val="16"/>
        </w:numPr>
        <w:rPr>
          <w:rFonts w:asciiTheme="majorHAnsi" w:hAnsiTheme="majorHAnsi" w:cstheme="majorHAnsi"/>
        </w:rPr>
      </w:pPr>
      <w:r w:rsidRPr="00A42D23">
        <w:rPr>
          <w:rFonts w:asciiTheme="majorHAnsi" w:hAnsiTheme="majorHAnsi" w:cstheme="majorHAnsi"/>
        </w:rPr>
        <w:t>Requires every crew member to complete a JULIE-provided safety and installation training course.</w:t>
      </w:r>
    </w:p>
    <w:p w14:paraId="0D28B3CC" w14:textId="77777777" w:rsidR="00347D67" w:rsidRPr="00A42D23" w:rsidRDefault="00C14D05" w:rsidP="00A42D23">
      <w:pPr>
        <w:pStyle w:val="ListParagraph"/>
        <w:numPr>
          <w:ilvl w:val="0"/>
          <w:numId w:val="16"/>
        </w:numPr>
        <w:rPr>
          <w:rFonts w:asciiTheme="majorHAnsi" w:hAnsiTheme="majorHAnsi" w:cstheme="majorHAnsi"/>
        </w:rPr>
      </w:pPr>
      <w:r w:rsidRPr="00A42D23">
        <w:rPr>
          <w:rFonts w:asciiTheme="majorHAnsi" w:hAnsiTheme="majorHAnsi" w:cstheme="majorHAnsi"/>
        </w:rPr>
        <w:t>Requires the crew to use updated city, county, and right</w:t>
      </w:r>
      <w:r w:rsidRPr="00A42D23">
        <w:rPr>
          <w:rFonts w:ascii="Cambria Math" w:hAnsi="Cambria Math" w:cs="Cambria Math"/>
        </w:rPr>
        <w:t>‑</w:t>
      </w:r>
      <w:r w:rsidRPr="00A42D23">
        <w:rPr>
          <w:rFonts w:asciiTheme="majorHAnsi" w:hAnsiTheme="majorHAnsi" w:cstheme="majorHAnsi"/>
        </w:rPr>
        <w:t>of</w:t>
      </w:r>
      <w:r w:rsidRPr="00A42D23">
        <w:rPr>
          <w:rFonts w:ascii="Cambria Math" w:hAnsi="Cambria Math" w:cs="Cambria Math"/>
        </w:rPr>
        <w:t>‑</w:t>
      </w:r>
      <w:r w:rsidRPr="00A42D23">
        <w:rPr>
          <w:rFonts w:asciiTheme="majorHAnsi" w:hAnsiTheme="majorHAnsi" w:cstheme="majorHAnsi"/>
        </w:rPr>
        <w:t>way maps that are less than 2 years old throughout an excavation project.</w:t>
      </w:r>
    </w:p>
    <w:p w14:paraId="6D863E7F" w14:textId="77777777" w:rsidR="00347D67" w:rsidRPr="00A42D23" w:rsidRDefault="00C14D05" w:rsidP="00A42D23">
      <w:pPr>
        <w:pStyle w:val="ListParagraph"/>
        <w:numPr>
          <w:ilvl w:val="0"/>
          <w:numId w:val="16"/>
        </w:numPr>
        <w:rPr>
          <w:rFonts w:asciiTheme="majorHAnsi" w:hAnsiTheme="majorHAnsi" w:cstheme="majorHAnsi"/>
        </w:rPr>
      </w:pPr>
      <w:r w:rsidRPr="00A42D23">
        <w:rPr>
          <w:rFonts w:asciiTheme="majorHAnsi" w:hAnsiTheme="majorHAnsi" w:cstheme="majorHAnsi"/>
        </w:rPr>
        <w:t>Requires the crew to obtain a surety bond conditioned on compliance with the new requirements and to provide proof of the bond to the unit of local government with jurisdiction; the bond amount must be a reasonable amount set by the local government.</w:t>
      </w:r>
    </w:p>
    <w:p w14:paraId="5218807A" w14:textId="0EF8700B" w:rsidR="00347D67" w:rsidRPr="00A42D23" w:rsidRDefault="00C14D05" w:rsidP="00A42D23">
      <w:pPr>
        <w:pStyle w:val="ListParagraph"/>
        <w:numPr>
          <w:ilvl w:val="0"/>
          <w:numId w:val="16"/>
        </w:numPr>
        <w:rPr>
          <w:rFonts w:asciiTheme="majorHAnsi" w:hAnsiTheme="majorHAnsi" w:cstheme="majorHAnsi"/>
        </w:rPr>
      </w:pPr>
      <w:r w:rsidRPr="00A42D23">
        <w:rPr>
          <w:rFonts w:asciiTheme="majorHAnsi" w:hAnsiTheme="majorHAnsi" w:cstheme="majorHAnsi"/>
        </w:rPr>
        <w:t xml:space="preserve">Requires full restoration of residential and landowner ground surface and landscaping within 30 days after completion of the excavation </w:t>
      </w:r>
      <w:r w:rsidR="00967391" w:rsidRPr="00A42D23">
        <w:rPr>
          <w:rFonts w:asciiTheme="majorHAnsi" w:hAnsiTheme="majorHAnsi" w:cstheme="majorHAnsi"/>
        </w:rPr>
        <w:t>project and</w:t>
      </w:r>
      <w:r w:rsidRPr="00A42D23">
        <w:rPr>
          <w:rFonts w:asciiTheme="majorHAnsi" w:hAnsiTheme="majorHAnsi" w:cstheme="majorHAnsi"/>
        </w:rPr>
        <w:t xml:space="preserve"> requires the crew manager/supervisor (with project owner confirmation) to send a restoration</w:t>
      </w:r>
      <w:r w:rsidRPr="00A42D23">
        <w:rPr>
          <w:rFonts w:ascii="Cambria Math" w:hAnsi="Cambria Math" w:cs="Cambria Math"/>
        </w:rPr>
        <w:t>‑</w:t>
      </w:r>
      <w:r w:rsidRPr="00A42D23">
        <w:rPr>
          <w:rFonts w:asciiTheme="majorHAnsi" w:hAnsiTheme="majorHAnsi" w:cstheme="majorHAnsi"/>
        </w:rPr>
        <w:t>affirmation letter to the mayor or applicable township official.</w:t>
      </w:r>
    </w:p>
    <w:p w14:paraId="1105A95B" w14:textId="1DD8259B" w:rsidR="00347D67" w:rsidRPr="00A42D23" w:rsidRDefault="00D47CD9" w:rsidP="00A42D23">
      <w:pPr>
        <w:pStyle w:val="ListParagraph"/>
        <w:numPr>
          <w:ilvl w:val="0"/>
          <w:numId w:val="16"/>
        </w:numPr>
        <w:rPr>
          <w:rFonts w:asciiTheme="majorHAnsi" w:hAnsiTheme="majorHAnsi" w:cstheme="majorHAnsi"/>
        </w:rPr>
      </w:pPr>
      <w:r>
        <w:rPr>
          <w:rFonts w:asciiTheme="majorHAnsi" w:hAnsiTheme="majorHAnsi" w:cstheme="majorHAnsi"/>
        </w:rPr>
        <w:t>Establishes penalties for violations</w:t>
      </w:r>
      <w:r w:rsidR="00C14D05" w:rsidRPr="00A42D23">
        <w:rPr>
          <w:rFonts w:asciiTheme="majorHAnsi" w:hAnsiTheme="majorHAnsi" w:cstheme="majorHAnsi"/>
        </w:rPr>
        <w:t xml:space="preserve">: a warning letter for the first violation, a $1,000 fine for the second violation, and up to $5,000 for each subsequent violation; authorizes the </w:t>
      </w:r>
      <w:r w:rsidR="00967391">
        <w:rPr>
          <w:rFonts w:asciiTheme="majorHAnsi" w:hAnsiTheme="majorHAnsi" w:cstheme="majorHAnsi"/>
        </w:rPr>
        <w:lastRenderedPageBreak/>
        <w:t>ICC</w:t>
      </w:r>
      <w:r w:rsidR="00967391" w:rsidRPr="00A42D23">
        <w:rPr>
          <w:rFonts w:asciiTheme="majorHAnsi" w:hAnsiTheme="majorHAnsi" w:cstheme="majorHAnsi"/>
        </w:rPr>
        <w:t xml:space="preserve"> </w:t>
      </w:r>
      <w:r w:rsidR="00C14D05" w:rsidRPr="00A42D23">
        <w:rPr>
          <w:rFonts w:asciiTheme="majorHAnsi" w:hAnsiTheme="majorHAnsi" w:cstheme="majorHAnsi"/>
        </w:rPr>
        <w:t>to enter arbitration with a person who violates the Section 5 or more times to determine damages, repayment, and fines.</w:t>
      </w:r>
    </w:p>
    <w:p w14:paraId="7FF7D991" w14:textId="77777777" w:rsidR="00347D67" w:rsidRPr="0050507C" w:rsidRDefault="00C14D05" w:rsidP="00A42D23">
      <w:pPr>
        <w:spacing w:after="0"/>
        <w:rPr>
          <w:rFonts w:asciiTheme="majorHAnsi" w:hAnsiTheme="majorHAnsi" w:cstheme="majorHAnsi"/>
          <w:b/>
          <w:bCs/>
          <w:color w:val="00B050"/>
        </w:rPr>
      </w:pPr>
      <w:hyperlink r:id="rId16">
        <w:r w:rsidRPr="0050507C">
          <w:rPr>
            <w:rFonts w:asciiTheme="majorHAnsi" w:hAnsiTheme="majorHAnsi" w:cstheme="majorHAnsi"/>
            <w:b/>
            <w:bCs/>
            <w:color w:val="00B050"/>
            <w:u w:val="single"/>
          </w:rPr>
          <w:t>SB 3593 – Telecommunications Theft (Sen. Sims)</w:t>
        </w:r>
      </w:hyperlink>
    </w:p>
    <w:p w14:paraId="626281DD" w14:textId="0B8FCE6C" w:rsidR="00347D67" w:rsidRPr="00480EC9" w:rsidRDefault="00C14D05">
      <w:pPr>
        <w:rPr>
          <w:rFonts w:asciiTheme="majorHAnsi" w:hAnsiTheme="majorHAnsi" w:cstheme="majorHAnsi"/>
        </w:rPr>
      </w:pPr>
      <w:r w:rsidRPr="00480EC9">
        <w:rPr>
          <w:rFonts w:asciiTheme="majorHAnsi" w:hAnsiTheme="majorHAnsi" w:cstheme="majorHAnsi"/>
        </w:rPr>
        <w:t>Summary:</w:t>
      </w:r>
      <w:r w:rsidR="00375502">
        <w:rPr>
          <w:rFonts w:asciiTheme="majorHAnsi" w:hAnsiTheme="majorHAnsi" w:cstheme="majorHAnsi"/>
        </w:rPr>
        <w:t xml:space="preserve"> </w:t>
      </w:r>
      <w:r w:rsidRPr="00480EC9">
        <w:rPr>
          <w:rFonts w:asciiTheme="majorHAnsi" w:hAnsiTheme="majorHAnsi" w:cstheme="majorHAnsi"/>
        </w:rPr>
        <w:t>Amends the Recyclable Metal Purchase Registration Law to specifically address theft and trafficking of telecommunications wire and related network equipment. The bill (1) expands definitions so that “recyclable metal” and “telecommunications wire” encompass a broad range of wire and components used in wireline and wireless network facilities (including fiber/copper cable and related structures), (2) makes it a violation for a person to possess or transact in telecommunications wire unless the seller is an authorized agent/employee/contractor of specified utility or communications entities, and (3) directs the Recyclable Metal Theft Task Force to evaluate and develop solutions targeted at telecommunications wire and equipment theft, including adding a wireless carrier representative and requiring annual reporting. The bill becomes effective July 1, 2027.</w:t>
      </w:r>
    </w:p>
    <w:p w14:paraId="781CF497"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09E047FC"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Defines “burned wire” as coated metal wire that has been smelted, burned, or melted to remove protective coating or identifying marks.</w:t>
      </w:r>
    </w:p>
    <w:p w14:paraId="7C363D39"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Expands the definition of “recyclable metal” to include specified metals found in telecommunications wire and other equipment used to provide telecommunications service (Public Utilities Act §13</w:t>
      </w:r>
      <w:r w:rsidRPr="00A42D23">
        <w:rPr>
          <w:rFonts w:ascii="Cambria Math" w:hAnsi="Cambria Math" w:cs="Cambria Math"/>
        </w:rPr>
        <w:t>‑</w:t>
      </w:r>
      <w:r w:rsidRPr="00A42D23">
        <w:rPr>
          <w:rFonts w:asciiTheme="majorHAnsi" w:hAnsiTheme="majorHAnsi" w:cstheme="majorHAnsi"/>
        </w:rPr>
        <w:t xml:space="preserve">203) and broadband, interconnected VoIP, or wireless services (Public Utilities Act </w:t>
      </w:r>
      <w:r w:rsidRPr="00A42D23">
        <w:rPr>
          <w:rFonts w:ascii="Calibri" w:hAnsi="Calibri" w:cs="Calibri"/>
        </w:rPr>
        <w:t>§</w:t>
      </w:r>
      <w:r w:rsidRPr="00A42D23">
        <w:rPr>
          <w:rFonts w:asciiTheme="majorHAnsi" w:hAnsiTheme="majorHAnsi" w:cstheme="majorHAnsi"/>
        </w:rPr>
        <w:t>13</w:t>
      </w:r>
      <w:r w:rsidRPr="00A42D23">
        <w:rPr>
          <w:rFonts w:ascii="Cambria Math" w:hAnsi="Cambria Math" w:cs="Cambria Math"/>
        </w:rPr>
        <w:t>‑</w:t>
      </w:r>
      <w:r w:rsidRPr="00A42D23">
        <w:rPr>
          <w:rFonts w:asciiTheme="majorHAnsi" w:hAnsiTheme="majorHAnsi" w:cstheme="majorHAnsi"/>
        </w:rPr>
        <w:t>804).</w:t>
      </w:r>
    </w:p>
    <w:p w14:paraId="47D7BA21"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Defines “telecommunications wire” to include wire used in wireline communications network facilities or wireless communications network facilities, including fiber, copper cable (sheathed or unsheathed), and twisted</w:t>
      </w:r>
      <w:r w:rsidRPr="00A42D23">
        <w:rPr>
          <w:rFonts w:ascii="Cambria Math" w:hAnsi="Cambria Math" w:cs="Cambria Math"/>
        </w:rPr>
        <w:t>‑</w:t>
      </w:r>
      <w:r w:rsidRPr="00A42D23">
        <w:rPr>
          <w:rFonts w:asciiTheme="majorHAnsi" w:hAnsiTheme="majorHAnsi" w:cstheme="majorHAnsi"/>
        </w:rPr>
        <w:t>pair wire; includes related structures and equipment (e.g., towers, antennae, buss bars, copper ground supports, burned wire, and associated aerial/ground cable lines or equipment used as part of a telecommunications or broadband network).</w:t>
      </w:r>
    </w:p>
    <w:p w14:paraId="3A0C58BC" w14:textId="2D904043"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Adds telecommunications wire to the Act’s list of restricted purchase items and makes it a violation for any person to possess/purchase/sell or for a recyclable metal dealer to purchase telecommunications wire in any amount unless the seller is an authorized agent, representative, or employee of a licensed contractor of a public utility or a provider of telecommunications, broadband, interconnected VoIP, or wireless services as described in the Public Utilities Act.</w:t>
      </w:r>
    </w:p>
    <w:p w14:paraId="06B4E87C"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Directs the Recyclable Metal Theft Task Force to review the effectiveness of its efforts specifically for telecommunications wires, burned wire, and equipment used to provide telecommunications/broadband/VoIP/wireless services, and to consider and develop long</w:t>
      </w:r>
      <w:r w:rsidRPr="00A42D23">
        <w:rPr>
          <w:rFonts w:ascii="Cambria Math" w:hAnsi="Cambria Math" w:cs="Cambria Math"/>
        </w:rPr>
        <w:t>‑</w:t>
      </w:r>
      <w:r w:rsidRPr="00A42D23">
        <w:rPr>
          <w:rFonts w:asciiTheme="majorHAnsi" w:hAnsiTheme="majorHAnsi" w:cstheme="majorHAnsi"/>
        </w:rPr>
        <w:t>term legislative and enforcement solutions to address theft of those assets.</w:t>
      </w:r>
    </w:p>
    <w:p w14:paraId="65479BC3"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Adds a representative of a wireless telecommunications carrier to the Task Force’s public membership and requires the Task Force to report findings and recommendations annually by October 31 to the General Assembly and the Governor.</w:t>
      </w:r>
    </w:p>
    <w:p w14:paraId="072F62F5" w14:textId="77777777" w:rsidR="00347D67" w:rsidRPr="00A42D23" w:rsidRDefault="00C14D05" w:rsidP="00A42D23">
      <w:pPr>
        <w:pStyle w:val="ListParagraph"/>
        <w:numPr>
          <w:ilvl w:val="0"/>
          <w:numId w:val="17"/>
        </w:numPr>
        <w:rPr>
          <w:rFonts w:asciiTheme="majorHAnsi" w:hAnsiTheme="majorHAnsi" w:cstheme="majorHAnsi"/>
        </w:rPr>
      </w:pPr>
      <w:r w:rsidRPr="00A42D23">
        <w:rPr>
          <w:rFonts w:asciiTheme="majorHAnsi" w:hAnsiTheme="majorHAnsi" w:cstheme="majorHAnsi"/>
        </w:rPr>
        <w:t>Effective July 1, 2027.</w:t>
      </w:r>
    </w:p>
    <w:p w14:paraId="0EA4BCA3" w14:textId="77777777" w:rsidR="00347D67" w:rsidRPr="0050507C" w:rsidRDefault="00C14D05" w:rsidP="00A42D23">
      <w:pPr>
        <w:spacing w:after="0"/>
        <w:rPr>
          <w:rFonts w:asciiTheme="majorHAnsi" w:hAnsiTheme="majorHAnsi" w:cstheme="majorHAnsi"/>
          <w:b/>
          <w:bCs/>
        </w:rPr>
      </w:pPr>
      <w:hyperlink r:id="rId17">
        <w:r w:rsidRPr="0050507C">
          <w:rPr>
            <w:rFonts w:asciiTheme="majorHAnsi" w:hAnsiTheme="majorHAnsi" w:cstheme="majorHAnsi"/>
            <w:b/>
            <w:bCs/>
            <w:color w:val="0000FF"/>
            <w:u w:val="single"/>
          </w:rPr>
          <w:t>SB 3613 – Rural Broadband Deployment Study (Sen. Ventura)</w:t>
        </w:r>
      </w:hyperlink>
    </w:p>
    <w:p w14:paraId="60E56772" w14:textId="2E7EB7CF" w:rsidR="00347D67" w:rsidRPr="00480EC9" w:rsidRDefault="00C14D05">
      <w:pPr>
        <w:rPr>
          <w:rFonts w:asciiTheme="majorHAnsi" w:hAnsiTheme="majorHAnsi" w:cstheme="majorHAnsi"/>
        </w:rPr>
      </w:pPr>
      <w:r w:rsidRPr="00480EC9">
        <w:rPr>
          <w:rFonts w:asciiTheme="majorHAnsi" w:hAnsiTheme="majorHAnsi" w:cstheme="majorHAnsi"/>
        </w:rPr>
        <w:t>Summary:</w:t>
      </w:r>
      <w:r w:rsidR="00375502">
        <w:rPr>
          <w:rFonts w:asciiTheme="majorHAnsi" w:hAnsiTheme="majorHAnsi" w:cstheme="majorHAnsi"/>
        </w:rPr>
        <w:t xml:space="preserve"> </w:t>
      </w:r>
      <w:r w:rsidR="00C33805">
        <w:rPr>
          <w:rFonts w:asciiTheme="majorHAnsi" w:hAnsiTheme="majorHAnsi" w:cstheme="majorHAnsi"/>
        </w:rPr>
        <w:t xml:space="preserve">Requires </w:t>
      </w:r>
      <w:r w:rsidRPr="00480EC9">
        <w:rPr>
          <w:rFonts w:asciiTheme="majorHAnsi" w:hAnsiTheme="majorHAnsi" w:cstheme="majorHAnsi"/>
        </w:rPr>
        <w:t xml:space="preserve">the Broadband Advisory Council to conduct a rural broadband deployment study to identify and evaluate the costs and benefits that may materialize from installation and deployment of rural broadband in </w:t>
      </w:r>
      <w:r w:rsidR="0010180B">
        <w:rPr>
          <w:rFonts w:asciiTheme="majorHAnsi" w:hAnsiTheme="majorHAnsi" w:cstheme="majorHAnsi"/>
        </w:rPr>
        <w:t>all areas served by broadband</w:t>
      </w:r>
      <w:r w:rsidR="0010180B" w:rsidRPr="00480EC9">
        <w:rPr>
          <w:rFonts w:asciiTheme="majorHAnsi" w:hAnsiTheme="majorHAnsi" w:cstheme="majorHAnsi"/>
        </w:rPr>
        <w:t xml:space="preserve"> </w:t>
      </w:r>
      <w:r w:rsidRPr="00480EC9">
        <w:rPr>
          <w:rFonts w:asciiTheme="majorHAnsi" w:hAnsiTheme="majorHAnsi" w:cstheme="majorHAnsi"/>
        </w:rPr>
        <w:t>cooperative</w:t>
      </w:r>
      <w:r w:rsidR="0010180B">
        <w:rPr>
          <w:rFonts w:asciiTheme="majorHAnsi" w:hAnsiTheme="majorHAnsi" w:cstheme="majorHAnsi"/>
        </w:rPr>
        <w:t>s</w:t>
      </w:r>
      <w:r w:rsidR="004E1EF8">
        <w:rPr>
          <w:rFonts w:asciiTheme="majorHAnsi" w:hAnsiTheme="majorHAnsi" w:cstheme="majorHAnsi"/>
        </w:rPr>
        <w:t>.</w:t>
      </w:r>
    </w:p>
    <w:p w14:paraId="5BBE5D06"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31039C80" w14:textId="77777777" w:rsidR="00347D67" w:rsidRPr="00A42D23" w:rsidRDefault="00C14D05" w:rsidP="00A42D23">
      <w:pPr>
        <w:pStyle w:val="ListParagraph"/>
        <w:numPr>
          <w:ilvl w:val="0"/>
          <w:numId w:val="18"/>
        </w:numPr>
        <w:rPr>
          <w:rFonts w:asciiTheme="majorHAnsi" w:hAnsiTheme="majorHAnsi" w:cstheme="majorHAnsi"/>
        </w:rPr>
      </w:pPr>
      <w:r w:rsidRPr="00A42D23">
        <w:rPr>
          <w:rFonts w:asciiTheme="majorHAnsi" w:hAnsiTheme="majorHAnsi" w:cstheme="majorHAnsi"/>
        </w:rPr>
        <w:t>Requires the Broadband Advisory Council to identify and evaluate costs and benefits associated with installation and deployment of rural broadband in all areas served by broadband cooperatives in Illinois.</w:t>
      </w:r>
    </w:p>
    <w:p w14:paraId="7297B4DC" w14:textId="77777777" w:rsidR="00347D67" w:rsidRPr="00A42D23" w:rsidRDefault="00C14D05" w:rsidP="00A42D23">
      <w:pPr>
        <w:pStyle w:val="ListParagraph"/>
        <w:numPr>
          <w:ilvl w:val="0"/>
          <w:numId w:val="18"/>
        </w:numPr>
        <w:rPr>
          <w:rFonts w:asciiTheme="majorHAnsi" w:hAnsiTheme="majorHAnsi" w:cstheme="majorHAnsi"/>
        </w:rPr>
      </w:pPr>
      <w:r w:rsidRPr="00A42D23">
        <w:rPr>
          <w:rFonts w:asciiTheme="majorHAnsi" w:hAnsiTheme="majorHAnsi" w:cstheme="majorHAnsi"/>
        </w:rPr>
        <w:t>Directs the study to consider material social and economic costs and benefits of deployment, including effects of expanded access to telehealth, remote job opportunities, and educational materials.</w:t>
      </w:r>
    </w:p>
    <w:p w14:paraId="12EB457F" w14:textId="77777777" w:rsidR="00347D67" w:rsidRPr="00935263" w:rsidRDefault="00C14D05" w:rsidP="00A42D23">
      <w:pPr>
        <w:spacing w:after="0"/>
        <w:rPr>
          <w:rFonts w:asciiTheme="majorHAnsi" w:hAnsiTheme="majorHAnsi" w:cstheme="majorHAnsi"/>
          <w:b/>
          <w:bCs/>
          <w:color w:val="EE0000"/>
        </w:rPr>
      </w:pPr>
      <w:hyperlink r:id="rId18">
        <w:r w:rsidRPr="00935263">
          <w:rPr>
            <w:rFonts w:asciiTheme="majorHAnsi" w:hAnsiTheme="majorHAnsi" w:cstheme="majorHAnsi"/>
            <w:b/>
            <w:bCs/>
            <w:color w:val="EE0000"/>
            <w:u w:val="single"/>
          </w:rPr>
          <w:t>SB 3652 – Broadband Providers – Easements (Sen. Faraci)</w:t>
        </w:r>
      </w:hyperlink>
    </w:p>
    <w:p w14:paraId="66D5CA96" w14:textId="53677418" w:rsidR="00347D67" w:rsidRPr="00480EC9" w:rsidRDefault="00C14D05">
      <w:pPr>
        <w:rPr>
          <w:rFonts w:asciiTheme="majorHAnsi" w:hAnsiTheme="majorHAnsi" w:cstheme="majorHAnsi"/>
        </w:rPr>
      </w:pPr>
      <w:r w:rsidRPr="00480EC9">
        <w:rPr>
          <w:rFonts w:asciiTheme="majorHAnsi" w:hAnsiTheme="majorHAnsi" w:cstheme="majorHAnsi"/>
        </w:rPr>
        <w:t>Summary:</w:t>
      </w:r>
      <w:r w:rsidR="00375502">
        <w:rPr>
          <w:rFonts w:asciiTheme="majorHAnsi" w:hAnsiTheme="majorHAnsi" w:cstheme="majorHAnsi"/>
        </w:rPr>
        <w:t xml:space="preserve"> </w:t>
      </w:r>
      <w:r w:rsidRPr="00480EC9">
        <w:rPr>
          <w:rFonts w:asciiTheme="majorHAnsi" w:hAnsiTheme="majorHAnsi" w:cstheme="majorHAnsi"/>
        </w:rPr>
        <w:t>Amends the Electric Supplier Act (and related provisions commonly referenced as the Electrical Service Broadband Deployment and Access Law) to expand access rights for broadband deployment using electric easements and to extend certain entry/deployment protections beyond electric cooperative broadband grant recipients to “broadband providers” more generally</w:t>
      </w:r>
      <w:r w:rsidR="007E7CCD">
        <w:rPr>
          <w:rFonts w:asciiTheme="majorHAnsi" w:hAnsiTheme="majorHAnsi" w:cstheme="majorHAnsi"/>
        </w:rPr>
        <w:t xml:space="preserve"> and to locations </w:t>
      </w:r>
      <w:r w:rsidRPr="00480EC9">
        <w:rPr>
          <w:rFonts w:asciiTheme="majorHAnsi" w:hAnsiTheme="majorHAnsi" w:cstheme="majorHAnsi"/>
        </w:rPr>
        <w:t>outside a grant service area</w:t>
      </w:r>
      <w:r w:rsidR="00B66D0D">
        <w:rPr>
          <w:rFonts w:asciiTheme="majorHAnsi" w:hAnsiTheme="majorHAnsi" w:cstheme="majorHAnsi"/>
        </w:rPr>
        <w:t>.</w:t>
      </w:r>
      <w:r w:rsidRPr="00480EC9">
        <w:rPr>
          <w:rFonts w:asciiTheme="majorHAnsi" w:hAnsiTheme="majorHAnsi" w:cstheme="majorHAnsi"/>
        </w:rPr>
        <w:t xml:space="preserve"> The bill sets detailed notice content, timelines, and a process for property owners to demand and litigate “just compensation” for any diminution in property value due to the expanded easement use.</w:t>
      </w:r>
    </w:p>
    <w:p w14:paraId="32C9D833"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0477F219" w14:textId="4F423082"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Creates</w:t>
      </w:r>
      <w:r w:rsidR="009E5C42">
        <w:rPr>
          <w:rFonts w:asciiTheme="majorHAnsi" w:hAnsiTheme="majorHAnsi" w:cstheme="majorHAnsi"/>
        </w:rPr>
        <w:t xml:space="preserve"> and </w:t>
      </w:r>
      <w:r w:rsidRPr="00A42D23">
        <w:rPr>
          <w:rFonts w:asciiTheme="majorHAnsi" w:hAnsiTheme="majorHAnsi" w:cstheme="majorHAnsi"/>
        </w:rPr>
        <w:t>expands statutory rights so that, outside a grant service area, a broadband provider may access and use: (</w:t>
      </w:r>
      <w:proofErr w:type="spellStart"/>
      <w:r w:rsidRPr="00A42D23">
        <w:rPr>
          <w:rFonts w:asciiTheme="majorHAnsi" w:hAnsiTheme="majorHAnsi" w:cstheme="majorHAnsi"/>
        </w:rPr>
        <w:t>i</w:t>
      </w:r>
      <w:proofErr w:type="spellEnd"/>
      <w:r w:rsidRPr="00A42D23">
        <w:rPr>
          <w:rFonts w:asciiTheme="majorHAnsi" w:hAnsiTheme="majorHAnsi" w:cstheme="majorHAnsi"/>
        </w:rPr>
        <w:t>) an existing electric easement held or controlled by the broadband provider, or (ii) another existing electric easement with agreement of the easement holder/controller, for delivery of broadband service.</w:t>
      </w:r>
    </w:p>
    <w:p w14:paraId="088F6D32" w14:textId="77777777"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Provides that, if proper State and local permits are acquired, a property owner may not forbid or prevent a broadband provider from entering upon property outside the grant service area for purposes connected with broadband infrastructure deployment, nor prohibit deployment upon, beneath, or over the property of broadband infrastructure used for broadband service.</w:t>
      </w:r>
    </w:p>
    <w:p w14:paraId="015CCEEA" w14:textId="77777777"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Provides that property owners may be entitled to payment of just compensation and requires the broadband provider to indemnify the property owner for physical damage caused by deployment.</w:t>
      </w:r>
    </w:p>
    <w:p w14:paraId="607A9FE0" w14:textId="77777777"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Requires written notice to the property owner (sent to the address in county assessor records) by certified mail/return receipt, designated private delivery service, or personal service at least 14 days and not more than 60 days before the broadband grant recipient or broadband provider enters the property for deployment; the notice must include specified information such as property address, provider identity and contact, anticipated date and duration of work, compensation-demand timing, and detailed design/construction plans including proposed entry path and facility location.</w:t>
      </w:r>
    </w:p>
    <w:p w14:paraId="5B544F68" w14:textId="77777777"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lastRenderedPageBreak/>
        <w:t>Requires a property owner who intends to demand just compensation to serve written notice within 45 days after the anticipated deployment date; absent timely notice, it is conclusively presumed that the owner does not claim compensation.</w:t>
      </w:r>
    </w:p>
    <w:p w14:paraId="4C7737D3" w14:textId="56C52746"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 xml:space="preserve">Allows property owners who </w:t>
      </w:r>
      <w:r w:rsidR="009E5C42" w:rsidRPr="00A42D23">
        <w:rPr>
          <w:rFonts w:asciiTheme="majorHAnsi" w:hAnsiTheme="majorHAnsi" w:cstheme="majorHAnsi"/>
        </w:rPr>
        <w:t xml:space="preserve">demand compensation </w:t>
      </w:r>
      <w:r w:rsidR="009E5C42">
        <w:rPr>
          <w:rFonts w:asciiTheme="majorHAnsi" w:hAnsiTheme="majorHAnsi" w:cstheme="majorHAnsi"/>
        </w:rPr>
        <w:t xml:space="preserve">within the prescribed </w:t>
      </w:r>
      <w:r w:rsidR="00250D10">
        <w:rPr>
          <w:rFonts w:asciiTheme="majorHAnsi" w:hAnsiTheme="majorHAnsi" w:cstheme="majorHAnsi"/>
        </w:rPr>
        <w:t>time</w:t>
      </w:r>
      <w:r w:rsidR="00376E58">
        <w:rPr>
          <w:rFonts w:asciiTheme="majorHAnsi" w:hAnsiTheme="majorHAnsi" w:cstheme="majorHAnsi"/>
        </w:rPr>
        <w:t xml:space="preserve"> </w:t>
      </w:r>
      <w:r w:rsidRPr="00A42D23">
        <w:rPr>
          <w:rFonts w:asciiTheme="majorHAnsi" w:hAnsiTheme="majorHAnsi" w:cstheme="majorHAnsi"/>
        </w:rPr>
        <w:t>to bring suit in circuit court to determine just compensation (including jury determination) within the statutory filing period.</w:t>
      </w:r>
    </w:p>
    <w:p w14:paraId="14A57AD6" w14:textId="77777777" w:rsidR="00347D67" w:rsidRPr="00A42D23" w:rsidRDefault="00C14D05" w:rsidP="00A42D23">
      <w:pPr>
        <w:pStyle w:val="ListParagraph"/>
        <w:numPr>
          <w:ilvl w:val="0"/>
          <w:numId w:val="19"/>
        </w:numPr>
        <w:rPr>
          <w:rFonts w:asciiTheme="majorHAnsi" w:hAnsiTheme="majorHAnsi" w:cstheme="majorHAnsi"/>
        </w:rPr>
      </w:pPr>
      <w:r w:rsidRPr="00A42D23">
        <w:rPr>
          <w:rFonts w:asciiTheme="majorHAnsi" w:hAnsiTheme="majorHAnsi" w:cstheme="majorHAnsi"/>
        </w:rPr>
        <w:t>Updates statutory references so that broadband providers are included alongside broadband grant recipients throughout the notice, compensation, and related deployment-access provisions.</w:t>
      </w:r>
    </w:p>
    <w:p w14:paraId="09F6CA18" w14:textId="77777777" w:rsidR="00347D67" w:rsidRPr="0050507C" w:rsidRDefault="00C14D05" w:rsidP="00A42D23">
      <w:pPr>
        <w:spacing w:after="0"/>
        <w:rPr>
          <w:rFonts w:asciiTheme="majorHAnsi" w:hAnsiTheme="majorHAnsi" w:cstheme="majorHAnsi"/>
          <w:b/>
          <w:bCs/>
          <w:color w:val="00B050"/>
        </w:rPr>
      </w:pPr>
      <w:hyperlink r:id="rId19">
        <w:r w:rsidRPr="0050507C">
          <w:rPr>
            <w:rFonts w:asciiTheme="majorHAnsi" w:hAnsiTheme="majorHAnsi" w:cstheme="majorHAnsi"/>
            <w:b/>
            <w:bCs/>
            <w:color w:val="00B050"/>
            <w:u w:val="single"/>
          </w:rPr>
          <w:t>SB 3719 – Aging / Scam / Robocalls Information (Sen. Edly-Allen)</w:t>
        </w:r>
      </w:hyperlink>
    </w:p>
    <w:p w14:paraId="5BB3A0EE" w14:textId="772577D3" w:rsidR="00347D67" w:rsidRPr="00480EC9" w:rsidRDefault="00C14D05">
      <w:pPr>
        <w:rPr>
          <w:rFonts w:asciiTheme="majorHAnsi" w:hAnsiTheme="majorHAnsi" w:cstheme="majorHAnsi"/>
        </w:rPr>
      </w:pPr>
      <w:r w:rsidRPr="00480EC9">
        <w:rPr>
          <w:rFonts w:asciiTheme="majorHAnsi" w:hAnsiTheme="majorHAnsi" w:cstheme="majorHAnsi"/>
        </w:rPr>
        <w:t>Summary:</w:t>
      </w:r>
      <w:r w:rsidR="00375502">
        <w:rPr>
          <w:rFonts w:asciiTheme="majorHAnsi" w:hAnsiTheme="majorHAnsi" w:cstheme="majorHAnsi"/>
        </w:rPr>
        <w:t xml:space="preserve"> </w:t>
      </w:r>
      <w:r w:rsidR="005863D0">
        <w:rPr>
          <w:rFonts w:asciiTheme="majorHAnsi" w:hAnsiTheme="majorHAnsi" w:cstheme="majorHAnsi"/>
        </w:rPr>
        <w:t>Requires</w:t>
      </w:r>
      <w:r w:rsidRPr="00480EC9">
        <w:rPr>
          <w:rFonts w:asciiTheme="majorHAnsi" w:hAnsiTheme="majorHAnsi" w:cstheme="majorHAnsi"/>
        </w:rPr>
        <w:t xml:space="preserve"> the Department on Aging, in consultation with the Office of the Attorney General, to publish updated scam-call and robocall resources on its public website. The resources must include information on predatory scam calls that use artificial intelligence to mislead recipients and must provide access to a hotline number for reporting predatory calls. The bill is consumer-protection oriented and is focused on public information and reporting resources rather than direct regulation of telecom carriers.</w:t>
      </w:r>
    </w:p>
    <w:p w14:paraId="1531BCBB"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3022057C" w14:textId="77777777" w:rsidR="00347D67" w:rsidRPr="00A42D23" w:rsidRDefault="00C14D05" w:rsidP="00A42D23">
      <w:pPr>
        <w:pStyle w:val="ListParagraph"/>
        <w:numPr>
          <w:ilvl w:val="0"/>
          <w:numId w:val="20"/>
        </w:numPr>
        <w:rPr>
          <w:rFonts w:asciiTheme="majorHAnsi" w:hAnsiTheme="majorHAnsi" w:cstheme="majorHAnsi"/>
        </w:rPr>
      </w:pPr>
      <w:r w:rsidRPr="00A42D23">
        <w:rPr>
          <w:rFonts w:asciiTheme="majorHAnsi" w:hAnsiTheme="majorHAnsi" w:cstheme="majorHAnsi"/>
        </w:rPr>
        <w:t>Requires the Department on Aging, in consultation with the Office of the Attorney General, to provide updated resources related to scam calls and robocalls on the Department’s public website.</w:t>
      </w:r>
    </w:p>
    <w:p w14:paraId="24393EB0" w14:textId="77777777" w:rsidR="00347D67" w:rsidRPr="00A42D23" w:rsidRDefault="00C14D05" w:rsidP="00A42D23">
      <w:pPr>
        <w:pStyle w:val="ListParagraph"/>
        <w:numPr>
          <w:ilvl w:val="0"/>
          <w:numId w:val="20"/>
        </w:numPr>
        <w:rPr>
          <w:rFonts w:asciiTheme="majorHAnsi" w:hAnsiTheme="majorHAnsi" w:cstheme="majorHAnsi"/>
        </w:rPr>
      </w:pPr>
      <w:r w:rsidRPr="00A42D23">
        <w:rPr>
          <w:rFonts w:asciiTheme="majorHAnsi" w:hAnsiTheme="majorHAnsi" w:cstheme="majorHAnsi"/>
        </w:rPr>
        <w:t>Requires that the resources include, at a minimum: (1) information on predatory scam calls that utilize AI to mislead call recipients, and (2) access to a scam call hotline number where recipients may report predatory calls.</w:t>
      </w:r>
    </w:p>
    <w:p w14:paraId="3FE8AEDB" w14:textId="77777777" w:rsidR="00347D67" w:rsidRPr="00BC3093" w:rsidRDefault="00C14D05" w:rsidP="00A42D23">
      <w:pPr>
        <w:spacing w:after="0"/>
        <w:rPr>
          <w:rFonts w:asciiTheme="majorHAnsi" w:hAnsiTheme="majorHAnsi" w:cstheme="majorHAnsi"/>
          <w:b/>
          <w:bCs/>
          <w:color w:val="EE0000"/>
        </w:rPr>
      </w:pPr>
      <w:hyperlink r:id="rId20">
        <w:r w:rsidRPr="00BC3093">
          <w:rPr>
            <w:rFonts w:asciiTheme="majorHAnsi" w:hAnsiTheme="majorHAnsi" w:cstheme="majorHAnsi"/>
            <w:b/>
            <w:bCs/>
            <w:color w:val="EE0000"/>
            <w:u w:val="single"/>
          </w:rPr>
          <w:t>SB 3838 – Broadband Deployment Act (Sen. Joyce)</w:t>
        </w:r>
      </w:hyperlink>
    </w:p>
    <w:p w14:paraId="0A5FC57C" w14:textId="3561FB9E" w:rsidR="004D7879" w:rsidRDefault="00C14D05" w:rsidP="004D7879">
      <w:pPr>
        <w:rPr>
          <w:rFonts w:asciiTheme="majorHAnsi" w:hAnsiTheme="majorHAnsi" w:cstheme="majorHAnsi"/>
        </w:rPr>
      </w:pPr>
      <w:r w:rsidRPr="00480EC9">
        <w:rPr>
          <w:rFonts w:asciiTheme="majorHAnsi" w:hAnsiTheme="majorHAnsi" w:cstheme="majorHAnsi"/>
        </w:rPr>
        <w:t>Summary:</w:t>
      </w:r>
      <w:r w:rsidR="00917348">
        <w:rPr>
          <w:rFonts w:asciiTheme="majorHAnsi" w:hAnsiTheme="majorHAnsi" w:cstheme="majorHAnsi"/>
        </w:rPr>
        <w:t xml:space="preserve"> </w:t>
      </w:r>
      <w:r w:rsidRPr="00480EC9">
        <w:rPr>
          <w:rFonts w:asciiTheme="majorHAnsi" w:hAnsiTheme="majorHAnsi" w:cstheme="majorHAnsi"/>
        </w:rPr>
        <w:t xml:space="preserve">Creates </w:t>
      </w:r>
      <w:r w:rsidR="000225AF">
        <w:rPr>
          <w:rFonts w:asciiTheme="majorHAnsi" w:hAnsiTheme="majorHAnsi" w:cstheme="majorHAnsi"/>
        </w:rPr>
        <w:t>the</w:t>
      </w:r>
      <w:r w:rsidRPr="00480EC9">
        <w:rPr>
          <w:rFonts w:asciiTheme="majorHAnsi" w:hAnsiTheme="majorHAnsi" w:cstheme="majorHAnsi"/>
        </w:rPr>
        <w:t xml:space="preserve"> Broadband Infrastructure Deployment </w:t>
      </w:r>
      <w:r w:rsidR="00532741">
        <w:rPr>
          <w:rFonts w:asciiTheme="majorHAnsi" w:hAnsiTheme="majorHAnsi" w:cstheme="majorHAnsi"/>
        </w:rPr>
        <w:t>Act</w:t>
      </w:r>
      <w:r w:rsidRPr="00480EC9">
        <w:rPr>
          <w:rFonts w:asciiTheme="majorHAnsi" w:hAnsiTheme="majorHAnsi" w:cstheme="majorHAnsi"/>
        </w:rPr>
        <w:t xml:space="preserve"> to facilitate broadband infrastructure buildout</w:t>
      </w:r>
      <w:r w:rsidR="002236D3">
        <w:rPr>
          <w:rFonts w:asciiTheme="majorHAnsi" w:hAnsiTheme="majorHAnsi" w:cstheme="majorHAnsi"/>
        </w:rPr>
        <w:t>s</w:t>
      </w:r>
      <w:r w:rsidR="004D7879">
        <w:rPr>
          <w:rFonts w:asciiTheme="majorHAnsi" w:hAnsiTheme="majorHAnsi" w:cstheme="majorHAnsi"/>
        </w:rPr>
        <w:t xml:space="preserve"> by broadband grant recipients</w:t>
      </w:r>
      <w:r w:rsidR="002236D3">
        <w:rPr>
          <w:rFonts w:asciiTheme="majorHAnsi" w:hAnsiTheme="majorHAnsi" w:cstheme="majorHAnsi"/>
        </w:rPr>
        <w:t>.</w:t>
      </w:r>
      <w:r w:rsidRPr="00480EC9">
        <w:rPr>
          <w:rFonts w:asciiTheme="majorHAnsi" w:hAnsiTheme="majorHAnsi" w:cstheme="majorHAnsi"/>
        </w:rPr>
        <w:t xml:space="preserve"> </w:t>
      </w:r>
      <w:r w:rsidR="002236D3">
        <w:rPr>
          <w:rFonts w:asciiTheme="majorHAnsi" w:hAnsiTheme="majorHAnsi" w:cstheme="majorHAnsi"/>
        </w:rPr>
        <w:t>The</w:t>
      </w:r>
      <w:r w:rsidRPr="00480EC9">
        <w:rPr>
          <w:rFonts w:asciiTheme="majorHAnsi" w:hAnsiTheme="majorHAnsi" w:cstheme="majorHAnsi"/>
        </w:rPr>
        <w:t xml:space="preserve"> bill prohibit</w:t>
      </w:r>
      <w:r w:rsidR="007643F0">
        <w:rPr>
          <w:rFonts w:asciiTheme="majorHAnsi" w:hAnsiTheme="majorHAnsi" w:cstheme="majorHAnsi"/>
        </w:rPr>
        <w:t>s</w:t>
      </w:r>
      <w:r w:rsidRPr="00480EC9">
        <w:rPr>
          <w:rFonts w:asciiTheme="majorHAnsi" w:hAnsiTheme="majorHAnsi" w:cstheme="majorHAnsi"/>
        </w:rPr>
        <w:t xml:space="preserve"> certain property-owner interference with broadband infrastructure deployment when required State and local permits are obtained</w:t>
      </w:r>
      <w:r w:rsidR="00EB4A3D">
        <w:rPr>
          <w:rFonts w:asciiTheme="majorHAnsi" w:hAnsiTheme="majorHAnsi" w:cstheme="majorHAnsi"/>
        </w:rPr>
        <w:t>.</w:t>
      </w:r>
      <w:r w:rsidRPr="00480EC9">
        <w:rPr>
          <w:rFonts w:asciiTheme="majorHAnsi" w:hAnsiTheme="majorHAnsi" w:cstheme="majorHAnsi"/>
        </w:rPr>
        <w:t xml:space="preserve"> </w:t>
      </w:r>
      <w:r w:rsidR="00EB4A3D">
        <w:rPr>
          <w:rFonts w:asciiTheme="majorHAnsi" w:hAnsiTheme="majorHAnsi" w:cstheme="majorHAnsi"/>
        </w:rPr>
        <w:t xml:space="preserve">It </w:t>
      </w:r>
      <w:r w:rsidRPr="00480EC9">
        <w:rPr>
          <w:rFonts w:asciiTheme="majorHAnsi" w:hAnsiTheme="majorHAnsi" w:cstheme="majorHAnsi"/>
        </w:rPr>
        <w:t>provide</w:t>
      </w:r>
      <w:r w:rsidR="002D3145">
        <w:rPr>
          <w:rFonts w:asciiTheme="majorHAnsi" w:hAnsiTheme="majorHAnsi" w:cstheme="majorHAnsi"/>
        </w:rPr>
        <w:t>s</w:t>
      </w:r>
      <w:r w:rsidRPr="00480EC9">
        <w:rPr>
          <w:rFonts w:asciiTheme="majorHAnsi" w:hAnsiTheme="majorHAnsi" w:cstheme="majorHAnsi"/>
        </w:rPr>
        <w:t xml:space="preserve"> just compensation </w:t>
      </w:r>
      <w:r w:rsidR="002D3145">
        <w:rPr>
          <w:rFonts w:asciiTheme="majorHAnsi" w:hAnsiTheme="majorHAnsi" w:cstheme="majorHAnsi"/>
        </w:rPr>
        <w:t xml:space="preserve">to landowners </w:t>
      </w:r>
      <w:r w:rsidRPr="00480EC9">
        <w:rPr>
          <w:rFonts w:asciiTheme="majorHAnsi" w:hAnsiTheme="majorHAnsi" w:cstheme="majorHAnsi"/>
        </w:rPr>
        <w:t>and indemnification for physical damage</w:t>
      </w:r>
      <w:r w:rsidR="004F3E01">
        <w:rPr>
          <w:rFonts w:asciiTheme="majorHAnsi" w:hAnsiTheme="majorHAnsi" w:cstheme="majorHAnsi"/>
        </w:rPr>
        <w:t xml:space="preserve"> to property</w:t>
      </w:r>
      <w:r w:rsidRPr="00480EC9">
        <w:rPr>
          <w:rFonts w:asciiTheme="majorHAnsi" w:hAnsiTheme="majorHAnsi" w:cstheme="majorHAnsi"/>
        </w:rPr>
        <w:t xml:space="preserve">. </w:t>
      </w:r>
      <w:r w:rsidR="004D7879">
        <w:rPr>
          <w:rFonts w:asciiTheme="majorHAnsi" w:hAnsiTheme="majorHAnsi" w:cstheme="majorHAnsi"/>
        </w:rPr>
        <w:t xml:space="preserve">The </w:t>
      </w:r>
      <w:r w:rsidR="005E005A">
        <w:rPr>
          <w:rFonts w:asciiTheme="majorHAnsi" w:hAnsiTheme="majorHAnsi" w:cstheme="majorHAnsi"/>
        </w:rPr>
        <w:t xml:space="preserve">provisions of the bill are </w:t>
      </w:r>
      <w:r w:rsidR="004D7879">
        <w:rPr>
          <w:rFonts w:asciiTheme="majorHAnsi" w:hAnsiTheme="majorHAnsi" w:cstheme="majorHAnsi"/>
        </w:rPr>
        <w:t xml:space="preserve">limited by the definition of </w:t>
      </w:r>
      <w:r w:rsidR="005E005A" w:rsidRPr="005E005A">
        <w:rPr>
          <w:rFonts w:asciiTheme="majorHAnsi" w:hAnsiTheme="majorHAnsi" w:cstheme="majorHAnsi"/>
        </w:rPr>
        <w:t>"</w:t>
      </w:r>
      <w:r w:rsidR="00936B9E">
        <w:rPr>
          <w:rFonts w:asciiTheme="majorHAnsi" w:hAnsiTheme="majorHAnsi" w:cstheme="majorHAnsi"/>
        </w:rPr>
        <w:t>b</w:t>
      </w:r>
      <w:r w:rsidR="005E005A" w:rsidRPr="005E005A">
        <w:rPr>
          <w:rFonts w:asciiTheme="majorHAnsi" w:hAnsiTheme="majorHAnsi" w:cstheme="majorHAnsi"/>
        </w:rPr>
        <w:t>roadb</w:t>
      </w:r>
      <w:r w:rsidR="009D6E9E">
        <w:rPr>
          <w:rFonts w:asciiTheme="majorHAnsi" w:hAnsiTheme="majorHAnsi" w:cstheme="majorHAnsi"/>
        </w:rPr>
        <w:t>and grant recipient</w:t>
      </w:r>
      <w:r w:rsidR="005E005A" w:rsidRPr="005E005A">
        <w:rPr>
          <w:rFonts w:asciiTheme="majorHAnsi" w:hAnsiTheme="majorHAnsi" w:cstheme="majorHAnsi"/>
        </w:rPr>
        <w:t xml:space="preserve">" </w:t>
      </w:r>
      <w:r w:rsidR="005E005A">
        <w:rPr>
          <w:rFonts w:asciiTheme="majorHAnsi" w:hAnsiTheme="majorHAnsi" w:cstheme="majorHAnsi"/>
        </w:rPr>
        <w:t xml:space="preserve">to apply only to </w:t>
      </w:r>
      <w:r w:rsidR="005E005A" w:rsidRPr="005E005A">
        <w:rPr>
          <w:rFonts w:asciiTheme="majorHAnsi" w:hAnsiTheme="majorHAnsi" w:cstheme="majorHAnsi"/>
        </w:rPr>
        <w:t>a broadband service provider that is a telecommunications retailer, as defined in subsection (d) of Section 10 of the Telecommunications Infrastructure Maintenance Fee Act, that has been awarded grant funding pursuant to any State or federal grant program with the purpose of expanding broadband deployment and access to broadband services.</w:t>
      </w:r>
    </w:p>
    <w:p w14:paraId="0798561F" w14:textId="7D2833FF" w:rsidR="00347D67" w:rsidRPr="00480EC9" w:rsidRDefault="00C14D05" w:rsidP="00D53AA9">
      <w:pPr>
        <w:spacing w:after="0"/>
        <w:rPr>
          <w:rFonts w:asciiTheme="majorHAnsi" w:hAnsiTheme="majorHAnsi" w:cstheme="majorHAnsi"/>
        </w:rPr>
      </w:pPr>
      <w:r w:rsidRPr="00480EC9">
        <w:rPr>
          <w:rFonts w:asciiTheme="majorHAnsi" w:hAnsiTheme="majorHAnsi" w:cstheme="majorHAnsi"/>
        </w:rPr>
        <w:t>Key Statutory Provisions:</w:t>
      </w:r>
    </w:p>
    <w:p w14:paraId="2E9D7BBE" w14:textId="4D1BBDFE" w:rsidR="001117B6" w:rsidRPr="001117B6" w:rsidRDefault="001117B6" w:rsidP="001117B6">
      <w:pPr>
        <w:pStyle w:val="ListParagraph"/>
        <w:numPr>
          <w:ilvl w:val="0"/>
          <w:numId w:val="21"/>
        </w:numPr>
        <w:rPr>
          <w:rFonts w:asciiTheme="majorHAnsi" w:hAnsiTheme="majorHAnsi" w:cstheme="majorHAnsi"/>
        </w:rPr>
      </w:pPr>
      <w:r w:rsidRPr="001117B6">
        <w:rPr>
          <w:rFonts w:asciiTheme="majorHAnsi" w:hAnsiTheme="majorHAnsi" w:cstheme="majorHAnsi"/>
        </w:rPr>
        <w:t>The provisions of the bill are limited by the definition of "</w:t>
      </w:r>
      <w:r w:rsidR="00936B9E">
        <w:rPr>
          <w:rFonts w:asciiTheme="majorHAnsi" w:hAnsiTheme="majorHAnsi" w:cstheme="majorHAnsi"/>
        </w:rPr>
        <w:t>b</w:t>
      </w:r>
      <w:r w:rsidRPr="001117B6">
        <w:rPr>
          <w:rFonts w:asciiTheme="majorHAnsi" w:hAnsiTheme="majorHAnsi" w:cstheme="majorHAnsi"/>
        </w:rPr>
        <w:t xml:space="preserve">roadband grant recipient" to apply only to a broadband service provider that is a telecommunications retailer, as defined in subsection (d) of Section 10 of the Telecommunications Infrastructure Maintenance Fee Act, that has been awarded grant funding pursuant to any State or </w:t>
      </w:r>
      <w:r w:rsidRPr="001117B6">
        <w:rPr>
          <w:rFonts w:asciiTheme="majorHAnsi" w:hAnsiTheme="majorHAnsi" w:cstheme="majorHAnsi"/>
        </w:rPr>
        <w:lastRenderedPageBreak/>
        <w:t>federal grant program with the purpose of expanding broadband deployment and access to broadband services.</w:t>
      </w:r>
    </w:p>
    <w:p w14:paraId="7A2C9FA7" w14:textId="2A3BA1AA" w:rsidR="00347D67" w:rsidRPr="00A42D23" w:rsidRDefault="00C14D05" w:rsidP="00A42D23">
      <w:pPr>
        <w:pStyle w:val="ListParagraph"/>
        <w:numPr>
          <w:ilvl w:val="0"/>
          <w:numId w:val="21"/>
        </w:numPr>
        <w:rPr>
          <w:rFonts w:asciiTheme="majorHAnsi" w:hAnsiTheme="majorHAnsi" w:cstheme="majorHAnsi"/>
        </w:rPr>
      </w:pPr>
      <w:r w:rsidRPr="00A42D23">
        <w:rPr>
          <w:rFonts w:asciiTheme="majorHAnsi" w:hAnsiTheme="majorHAnsi" w:cstheme="majorHAnsi"/>
        </w:rPr>
        <w:t xml:space="preserve">Prohibits a property owner from forbidding or preventing a proposed </w:t>
      </w:r>
      <w:r w:rsidR="00936B9E">
        <w:rPr>
          <w:rFonts w:asciiTheme="majorHAnsi" w:hAnsiTheme="majorHAnsi" w:cstheme="majorHAnsi"/>
        </w:rPr>
        <w:t>“</w:t>
      </w:r>
      <w:r w:rsidRPr="00A42D23">
        <w:rPr>
          <w:rFonts w:asciiTheme="majorHAnsi" w:hAnsiTheme="majorHAnsi" w:cstheme="majorHAnsi"/>
        </w:rPr>
        <w:t xml:space="preserve">broadband </w:t>
      </w:r>
      <w:r w:rsidR="00936B9E">
        <w:rPr>
          <w:rFonts w:asciiTheme="majorHAnsi" w:hAnsiTheme="majorHAnsi" w:cstheme="majorHAnsi"/>
        </w:rPr>
        <w:t>grant recipient”</w:t>
      </w:r>
      <w:r w:rsidR="00936B9E" w:rsidRPr="00A42D23">
        <w:rPr>
          <w:rFonts w:asciiTheme="majorHAnsi" w:hAnsiTheme="majorHAnsi" w:cstheme="majorHAnsi"/>
        </w:rPr>
        <w:t xml:space="preserve"> </w:t>
      </w:r>
      <w:r w:rsidRPr="00A42D23">
        <w:rPr>
          <w:rFonts w:asciiTheme="majorHAnsi" w:hAnsiTheme="majorHAnsi" w:cstheme="majorHAnsi"/>
        </w:rPr>
        <w:t xml:space="preserve">from entering upon the property for purposes connected with deployment of broadband infrastructure, </w:t>
      </w:r>
      <w:r w:rsidR="008D2C33">
        <w:rPr>
          <w:rFonts w:asciiTheme="majorHAnsi" w:hAnsiTheme="majorHAnsi" w:cstheme="majorHAnsi"/>
        </w:rPr>
        <w:t>or from</w:t>
      </w:r>
      <w:r w:rsidR="008D2C33" w:rsidRPr="008D2C33">
        <w:rPr>
          <w:rFonts w:asciiTheme="majorHAnsi" w:hAnsiTheme="majorHAnsi" w:cstheme="majorHAnsi"/>
        </w:rPr>
        <w:t xml:space="preserve"> </w:t>
      </w:r>
      <w:r w:rsidR="008D2C33" w:rsidRPr="00A42D23">
        <w:rPr>
          <w:rFonts w:asciiTheme="majorHAnsi" w:hAnsiTheme="majorHAnsi" w:cstheme="majorHAnsi"/>
        </w:rPr>
        <w:t>forbidding or prohibiting the broadband provider from deploying broadband infrastructure upon, beneath, or over the property for broadband service, subject to permitting.</w:t>
      </w:r>
      <w:r w:rsidR="008D2C33">
        <w:rPr>
          <w:rFonts w:asciiTheme="majorHAnsi" w:hAnsiTheme="majorHAnsi" w:cstheme="majorHAnsi"/>
        </w:rPr>
        <w:t xml:space="preserve"> </w:t>
      </w:r>
      <w:r w:rsidRPr="00A42D23">
        <w:rPr>
          <w:rFonts w:asciiTheme="majorHAnsi" w:hAnsiTheme="majorHAnsi" w:cstheme="majorHAnsi"/>
        </w:rPr>
        <w:t>.</w:t>
      </w:r>
    </w:p>
    <w:p w14:paraId="18DEA956" w14:textId="77777777" w:rsidR="00347D67" w:rsidRPr="00A42D23" w:rsidRDefault="00C14D05" w:rsidP="00A42D23">
      <w:pPr>
        <w:pStyle w:val="ListParagraph"/>
        <w:numPr>
          <w:ilvl w:val="0"/>
          <w:numId w:val="21"/>
        </w:numPr>
        <w:rPr>
          <w:rFonts w:asciiTheme="majorHAnsi" w:hAnsiTheme="majorHAnsi" w:cstheme="majorHAnsi"/>
        </w:rPr>
      </w:pPr>
      <w:r w:rsidRPr="00A42D23">
        <w:rPr>
          <w:rFonts w:asciiTheme="majorHAnsi" w:hAnsiTheme="majorHAnsi" w:cstheme="majorHAnsi"/>
        </w:rPr>
        <w:t>Provides that the property owner may be entitled to payment of just compensation by the broadband provider.</w:t>
      </w:r>
    </w:p>
    <w:p w14:paraId="3112FD4B" w14:textId="77777777" w:rsidR="00347D67" w:rsidRPr="00A42D23" w:rsidRDefault="00C14D05" w:rsidP="00A42D23">
      <w:pPr>
        <w:pStyle w:val="ListParagraph"/>
        <w:numPr>
          <w:ilvl w:val="0"/>
          <w:numId w:val="21"/>
        </w:numPr>
        <w:rPr>
          <w:rFonts w:asciiTheme="majorHAnsi" w:hAnsiTheme="majorHAnsi" w:cstheme="majorHAnsi"/>
        </w:rPr>
      </w:pPr>
      <w:r w:rsidRPr="00A42D23">
        <w:rPr>
          <w:rFonts w:asciiTheme="majorHAnsi" w:hAnsiTheme="majorHAnsi" w:cstheme="majorHAnsi"/>
        </w:rPr>
        <w:t>Requires the broadband provider to indemnify the property owner for physical damage caused by deployment of broadband infrastructure and service.</w:t>
      </w:r>
    </w:p>
    <w:p w14:paraId="408BF0CD" w14:textId="19E7510B" w:rsidR="00347D67" w:rsidRPr="00A42D23" w:rsidRDefault="000652D3" w:rsidP="00A42D23">
      <w:pPr>
        <w:pStyle w:val="ListParagraph"/>
        <w:numPr>
          <w:ilvl w:val="0"/>
          <w:numId w:val="21"/>
        </w:numPr>
        <w:rPr>
          <w:rFonts w:asciiTheme="majorHAnsi" w:hAnsiTheme="majorHAnsi" w:cstheme="majorHAnsi"/>
        </w:rPr>
      </w:pPr>
      <w:r>
        <w:rPr>
          <w:rFonts w:asciiTheme="majorHAnsi" w:hAnsiTheme="majorHAnsi" w:cstheme="majorHAnsi"/>
        </w:rPr>
        <w:t xml:space="preserve">The Act </w:t>
      </w:r>
      <w:r w:rsidR="008269EF">
        <w:rPr>
          <w:rFonts w:asciiTheme="majorHAnsi" w:hAnsiTheme="majorHAnsi" w:cstheme="majorHAnsi"/>
        </w:rPr>
        <w:t>sunsets on</w:t>
      </w:r>
      <w:r>
        <w:rPr>
          <w:rFonts w:asciiTheme="majorHAnsi" w:hAnsiTheme="majorHAnsi" w:cstheme="majorHAnsi"/>
        </w:rPr>
        <w:t xml:space="preserve"> December 31, 2030</w:t>
      </w:r>
      <w:r w:rsidR="008269EF">
        <w:rPr>
          <w:rFonts w:asciiTheme="majorHAnsi" w:hAnsiTheme="majorHAnsi" w:cstheme="majorHAnsi"/>
        </w:rPr>
        <w:t>.</w:t>
      </w:r>
    </w:p>
    <w:p w14:paraId="7E1E7A73" w14:textId="77777777" w:rsidR="00347D67" w:rsidRPr="0050507C" w:rsidRDefault="00C14D05" w:rsidP="00A42D23">
      <w:pPr>
        <w:spacing w:after="0"/>
        <w:rPr>
          <w:rFonts w:asciiTheme="majorHAnsi" w:hAnsiTheme="majorHAnsi" w:cstheme="majorHAnsi"/>
          <w:b/>
          <w:bCs/>
          <w:color w:val="EE0000"/>
        </w:rPr>
      </w:pPr>
      <w:hyperlink r:id="rId21">
        <w:r w:rsidRPr="0050507C">
          <w:rPr>
            <w:rFonts w:asciiTheme="majorHAnsi" w:hAnsiTheme="majorHAnsi" w:cstheme="majorHAnsi"/>
            <w:b/>
            <w:bCs/>
            <w:color w:val="EE0000"/>
            <w:u w:val="single"/>
          </w:rPr>
          <w:t>SB 3965 – Switch Network Salvage (Sen. Guzman)</w:t>
        </w:r>
      </w:hyperlink>
    </w:p>
    <w:p w14:paraId="724C82AA" w14:textId="6B8BCE41" w:rsidR="00347D67" w:rsidRPr="00480EC9" w:rsidRDefault="00C14D05">
      <w:pPr>
        <w:rPr>
          <w:rFonts w:asciiTheme="majorHAnsi" w:hAnsiTheme="majorHAnsi" w:cstheme="majorHAnsi"/>
        </w:rPr>
      </w:pPr>
      <w:r w:rsidRPr="00480EC9">
        <w:rPr>
          <w:rFonts w:asciiTheme="majorHAnsi" w:hAnsiTheme="majorHAnsi" w:cstheme="majorHAnsi"/>
        </w:rPr>
        <w:t>Summary:</w:t>
      </w:r>
      <w:r w:rsidR="00917348">
        <w:rPr>
          <w:rFonts w:asciiTheme="majorHAnsi" w:hAnsiTheme="majorHAnsi" w:cstheme="majorHAnsi"/>
        </w:rPr>
        <w:t xml:space="preserve"> </w:t>
      </w:r>
      <w:r w:rsidRPr="00480EC9">
        <w:rPr>
          <w:rFonts w:asciiTheme="majorHAnsi" w:hAnsiTheme="majorHAnsi" w:cstheme="majorHAnsi"/>
        </w:rPr>
        <w:t>Amends the Public Utilities Act in provisions governing a Large Electing Provider’s transition to IP</w:t>
      </w:r>
      <w:r w:rsidRPr="00480EC9">
        <w:rPr>
          <w:rFonts w:ascii="Cambria Math" w:hAnsi="Cambria Math" w:cs="Cambria Math"/>
        </w:rPr>
        <w:t>‑</w:t>
      </w:r>
      <w:r w:rsidRPr="00480EC9">
        <w:rPr>
          <w:rFonts w:asciiTheme="majorHAnsi" w:hAnsiTheme="majorHAnsi" w:cstheme="majorHAnsi"/>
        </w:rPr>
        <w:t>based networks and service. The bill extends the required continuation of telecommunications service over traditional circuit</w:t>
      </w:r>
      <w:r w:rsidRPr="00480EC9">
        <w:rPr>
          <w:rFonts w:ascii="Cambria Math" w:hAnsi="Cambria Math" w:cs="Cambria Math"/>
        </w:rPr>
        <w:t>‑</w:t>
      </w:r>
      <w:r w:rsidRPr="00480EC9">
        <w:rPr>
          <w:rFonts w:asciiTheme="majorHAnsi" w:hAnsiTheme="majorHAnsi" w:cstheme="majorHAnsi"/>
        </w:rPr>
        <w:t>switched networks for existing residential and business end</w:t>
      </w:r>
      <w:r w:rsidRPr="00480EC9">
        <w:rPr>
          <w:rFonts w:ascii="Cambria Math" w:hAnsi="Cambria Math" w:cs="Cambria Math"/>
        </w:rPr>
        <w:t>‑</w:t>
      </w:r>
      <w:r w:rsidRPr="00480EC9">
        <w:rPr>
          <w:rFonts w:asciiTheme="majorHAnsi" w:hAnsiTheme="majorHAnsi" w:cstheme="majorHAnsi"/>
        </w:rPr>
        <w:t>use customers through at least December 31, 2031. It then establishes a process beginning January 1, 2032</w:t>
      </w:r>
      <w:r w:rsidR="00133E23">
        <w:rPr>
          <w:rFonts w:asciiTheme="majorHAnsi" w:hAnsiTheme="majorHAnsi" w:cstheme="majorHAnsi"/>
        </w:rPr>
        <w:t>,</w:t>
      </w:r>
      <w:r w:rsidRPr="00480EC9">
        <w:rPr>
          <w:rFonts w:asciiTheme="majorHAnsi" w:hAnsiTheme="majorHAnsi" w:cstheme="majorHAnsi"/>
        </w:rPr>
        <w:t xml:space="preserve"> for returning the </w:t>
      </w:r>
      <w:r w:rsidRPr="00480EC9">
        <w:rPr>
          <w:rFonts w:ascii="Calibri" w:hAnsi="Calibri" w:cs="Calibri"/>
        </w:rPr>
        <w:t>“</w:t>
      </w:r>
      <w:r w:rsidRPr="00480EC9">
        <w:rPr>
          <w:rFonts w:asciiTheme="majorHAnsi" w:hAnsiTheme="majorHAnsi" w:cstheme="majorHAnsi"/>
        </w:rPr>
        <w:t>salvage value</w:t>
      </w:r>
      <w:r w:rsidRPr="00480EC9">
        <w:rPr>
          <w:rFonts w:ascii="Calibri" w:hAnsi="Calibri" w:cs="Calibri"/>
        </w:rPr>
        <w:t>”</w:t>
      </w:r>
      <w:r w:rsidRPr="00480EC9">
        <w:rPr>
          <w:rFonts w:asciiTheme="majorHAnsi" w:hAnsiTheme="majorHAnsi" w:cstheme="majorHAnsi"/>
        </w:rPr>
        <w:t xml:space="preserve"> of traditional circuit</w:t>
      </w:r>
      <w:r w:rsidRPr="00480EC9">
        <w:rPr>
          <w:rFonts w:ascii="Cambria Math" w:hAnsi="Cambria Math" w:cs="Cambria Math"/>
        </w:rPr>
        <w:t>‑</w:t>
      </w:r>
      <w:r w:rsidRPr="00480EC9">
        <w:rPr>
          <w:rFonts w:asciiTheme="majorHAnsi" w:hAnsiTheme="majorHAnsi" w:cstheme="majorHAnsi"/>
        </w:rPr>
        <w:t xml:space="preserve">switched network components (including copper wiring) to the people of Illinois, requiring completion of salvage activities by January 1, 2038. </w:t>
      </w:r>
    </w:p>
    <w:p w14:paraId="7C3D9B61"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627EE088" w14:textId="77777777" w:rsidR="00347D67" w:rsidRPr="00A42D23" w:rsidRDefault="00C14D05" w:rsidP="00A42D23">
      <w:pPr>
        <w:pStyle w:val="ListParagraph"/>
        <w:numPr>
          <w:ilvl w:val="0"/>
          <w:numId w:val="22"/>
        </w:numPr>
        <w:rPr>
          <w:rFonts w:asciiTheme="majorHAnsi" w:hAnsiTheme="majorHAnsi" w:cstheme="majorHAnsi"/>
        </w:rPr>
      </w:pPr>
      <w:r w:rsidRPr="00A42D23">
        <w:rPr>
          <w:rFonts w:asciiTheme="majorHAnsi" w:hAnsiTheme="majorHAnsi" w:cstheme="majorHAnsi"/>
        </w:rPr>
        <w:t>Requires a Large Electing Provider to provide telecommunications service—including telecommunications service over traditional circuit</w:t>
      </w:r>
      <w:r w:rsidRPr="00A42D23">
        <w:rPr>
          <w:rFonts w:ascii="Cambria Math" w:hAnsi="Cambria Math" w:cs="Cambria Math"/>
        </w:rPr>
        <w:t>‑</w:t>
      </w:r>
      <w:r w:rsidRPr="00A42D23">
        <w:rPr>
          <w:rFonts w:asciiTheme="majorHAnsi" w:hAnsiTheme="majorHAnsi" w:cstheme="majorHAnsi"/>
        </w:rPr>
        <w:t>switched networks</w:t>
      </w:r>
      <w:r w:rsidRPr="00A42D23">
        <w:rPr>
          <w:rFonts w:ascii="Calibri" w:hAnsi="Calibri" w:cs="Calibri"/>
        </w:rPr>
        <w:t>—</w:t>
      </w:r>
      <w:r w:rsidRPr="00A42D23">
        <w:rPr>
          <w:rFonts w:asciiTheme="majorHAnsi" w:hAnsiTheme="majorHAnsi" w:cstheme="majorHAnsi"/>
        </w:rPr>
        <w:t>to existing business and residential end</w:t>
      </w:r>
      <w:r w:rsidRPr="00A42D23">
        <w:rPr>
          <w:rFonts w:ascii="Cambria Math" w:hAnsi="Cambria Math" w:cs="Cambria Math"/>
        </w:rPr>
        <w:t>‑</w:t>
      </w:r>
      <w:r w:rsidRPr="00A42D23">
        <w:rPr>
          <w:rFonts w:asciiTheme="majorHAnsi" w:hAnsiTheme="majorHAnsi" w:cstheme="majorHAnsi"/>
        </w:rPr>
        <w:t>use customers until at least December 31, 2031.</w:t>
      </w:r>
    </w:p>
    <w:p w14:paraId="3878AAD5" w14:textId="77777777" w:rsidR="00347D67" w:rsidRPr="00A42D23" w:rsidRDefault="00C14D05" w:rsidP="00A42D23">
      <w:pPr>
        <w:pStyle w:val="ListParagraph"/>
        <w:numPr>
          <w:ilvl w:val="0"/>
          <w:numId w:val="22"/>
        </w:numPr>
        <w:rPr>
          <w:rFonts w:asciiTheme="majorHAnsi" w:hAnsiTheme="majorHAnsi" w:cstheme="majorHAnsi"/>
        </w:rPr>
      </w:pPr>
      <w:r w:rsidRPr="00A42D23">
        <w:rPr>
          <w:rFonts w:asciiTheme="majorHAnsi" w:hAnsiTheme="majorHAnsi" w:cstheme="majorHAnsi"/>
        </w:rPr>
        <w:t>Beginning January 1, 2032, requires a Large Electing Provider to start the process of returning the salvage value of traditional circuit</w:t>
      </w:r>
      <w:r w:rsidRPr="00A42D23">
        <w:rPr>
          <w:rFonts w:ascii="Cambria Math" w:hAnsi="Cambria Math" w:cs="Cambria Math"/>
        </w:rPr>
        <w:t>‑</w:t>
      </w:r>
      <w:r w:rsidRPr="00A42D23">
        <w:rPr>
          <w:rFonts w:asciiTheme="majorHAnsi" w:hAnsiTheme="majorHAnsi" w:cstheme="majorHAnsi"/>
        </w:rPr>
        <w:t>switched networks to the people of Illinois; requires completion of salvage by January 1, 2038.</w:t>
      </w:r>
    </w:p>
    <w:p w14:paraId="083E76AA" w14:textId="77777777" w:rsidR="00347D67" w:rsidRPr="00A42D23" w:rsidRDefault="00C14D05" w:rsidP="00A42D23">
      <w:pPr>
        <w:pStyle w:val="ListParagraph"/>
        <w:numPr>
          <w:ilvl w:val="0"/>
          <w:numId w:val="22"/>
        </w:numPr>
        <w:rPr>
          <w:rFonts w:asciiTheme="majorHAnsi" w:hAnsiTheme="majorHAnsi" w:cstheme="majorHAnsi"/>
        </w:rPr>
      </w:pPr>
      <w:r w:rsidRPr="00A42D23">
        <w:rPr>
          <w:rFonts w:asciiTheme="majorHAnsi" w:hAnsiTheme="majorHAnsi" w:cstheme="majorHAnsi"/>
        </w:rPr>
        <w:t>Requires quarterly documentation and reporting to the Department of Public Health and the Illinois Commerce Commission regarding salvage activities, including total realized salvage value, per</w:t>
      </w:r>
      <w:r w:rsidRPr="00A42D23">
        <w:rPr>
          <w:rFonts w:ascii="Cambria Math" w:hAnsi="Cambria Math" w:cs="Cambria Math"/>
        </w:rPr>
        <w:t>‑</w:t>
      </w:r>
      <w:r w:rsidRPr="00A42D23">
        <w:rPr>
          <w:rFonts w:asciiTheme="majorHAnsi" w:hAnsiTheme="majorHAnsi" w:cstheme="majorHAnsi"/>
        </w:rPr>
        <w:t>mile salvage value, geographic location of salvages, and the value of the salvages.</w:t>
      </w:r>
    </w:p>
    <w:p w14:paraId="5F5AFD98" w14:textId="77777777" w:rsidR="00347D67" w:rsidRPr="00A42D23" w:rsidRDefault="00C14D05" w:rsidP="00A42D23">
      <w:pPr>
        <w:pStyle w:val="ListParagraph"/>
        <w:numPr>
          <w:ilvl w:val="0"/>
          <w:numId w:val="22"/>
        </w:numPr>
        <w:rPr>
          <w:rFonts w:asciiTheme="majorHAnsi" w:hAnsiTheme="majorHAnsi" w:cstheme="majorHAnsi"/>
        </w:rPr>
      </w:pPr>
      <w:r w:rsidRPr="00A42D23">
        <w:rPr>
          <w:rFonts w:asciiTheme="majorHAnsi" w:hAnsiTheme="majorHAnsi" w:cstheme="majorHAnsi"/>
        </w:rPr>
        <w:t>Defines “salvage value” as the monetary value received by a Large Electing Provider for components of a traditional circuit</w:t>
      </w:r>
      <w:r w:rsidRPr="00A42D23">
        <w:rPr>
          <w:rFonts w:ascii="Cambria Math" w:hAnsi="Cambria Math" w:cs="Cambria Math"/>
        </w:rPr>
        <w:t>‑</w:t>
      </w:r>
      <w:r w:rsidRPr="00A42D23">
        <w:rPr>
          <w:rFonts w:asciiTheme="majorHAnsi" w:hAnsiTheme="majorHAnsi" w:cstheme="majorHAnsi"/>
        </w:rPr>
        <w:t>switched network (including copper wiring) once the network is no longer in use.</w:t>
      </w:r>
    </w:p>
    <w:p w14:paraId="40BFA602" w14:textId="77777777" w:rsidR="00347D67" w:rsidRPr="00A42D23" w:rsidRDefault="00C14D05" w:rsidP="00A42D23">
      <w:pPr>
        <w:pStyle w:val="ListParagraph"/>
        <w:numPr>
          <w:ilvl w:val="0"/>
          <w:numId w:val="22"/>
        </w:numPr>
        <w:rPr>
          <w:rFonts w:asciiTheme="majorHAnsi" w:hAnsiTheme="majorHAnsi" w:cstheme="majorHAnsi"/>
        </w:rPr>
      </w:pPr>
      <w:r w:rsidRPr="00A42D23">
        <w:rPr>
          <w:rFonts w:asciiTheme="majorHAnsi" w:hAnsiTheme="majorHAnsi" w:cstheme="majorHAnsi"/>
        </w:rPr>
        <w:t>Integrates the new continuation and salvage requirements into the existing statutory framework governing large electing providers’ network transition and cessation of services.</w:t>
      </w:r>
    </w:p>
    <w:p w14:paraId="6C026177" w14:textId="77777777" w:rsidR="006120DF" w:rsidRDefault="006120DF" w:rsidP="00A42D23">
      <w:pPr>
        <w:spacing w:after="0"/>
      </w:pPr>
    </w:p>
    <w:p w14:paraId="75FA0E9F" w14:textId="77777777" w:rsidR="006120DF" w:rsidRDefault="006120DF" w:rsidP="00A42D23">
      <w:pPr>
        <w:spacing w:after="0"/>
      </w:pPr>
    </w:p>
    <w:p w14:paraId="0DEE4EDF" w14:textId="326208D8" w:rsidR="00347D67" w:rsidRPr="0083258F" w:rsidRDefault="00C14D05" w:rsidP="00A42D23">
      <w:pPr>
        <w:spacing w:after="0"/>
        <w:rPr>
          <w:rFonts w:asciiTheme="majorHAnsi" w:hAnsiTheme="majorHAnsi" w:cstheme="majorHAnsi"/>
          <w:b/>
          <w:bCs/>
          <w:color w:val="EE0000"/>
        </w:rPr>
      </w:pPr>
      <w:hyperlink r:id="rId22">
        <w:r w:rsidRPr="0083258F">
          <w:rPr>
            <w:rFonts w:asciiTheme="majorHAnsi" w:hAnsiTheme="majorHAnsi" w:cstheme="majorHAnsi"/>
            <w:b/>
            <w:bCs/>
            <w:color w:val="EE0000"/>
            <w:u w:val="single"/>
          </w:rPr>
          <w:t>SB 3994 – Secure Telecommunications Act (Sen. Plummer)</w:t>
        </w:r>
      </w:hyperlink>
    </w:p>
    <w:p w14:paraId="0A548187" w14:textId="43110906" w:rsidR="00347D67" w:rsidRPr="00480EC9" w:rsidRDefault="00C14D05">
      <w:pPr>
        <w:rPr>
          <w:rFonts w:asciiTheme="majorHAnsi" w:hAnsiTheme="majorHAnsi" w:cstheme="majorHAnsi"/>
        </w:rPr>
      </w:pPr>
      <w:r w:rsidRPr="00480EC9">
        <w:rPr>
          <w:rFonts w:asciiTheme="majorHAnsi" w:hAnsiTheme="majorHAnsi" w:cstheme="majorHAnsi"/>
        </w:rPr>
        <w:t>Summary:</w:t>
      </w:r>
      <w:r w:rsidR="00917348">
        <w:rPr>
          <w:rFonts w:asciiTheme="majorHAnsi" w:hAnsiTheme="majorHAnsi" w:cstheme="majorHAnsi"/>
        </w:rPr>
        <w:t xml:space="preserve"> </w:t>
      </w:r>
      <w:r w:rsidR="006A2526">
        <w:rPr>
          <w:rFonts w:asciiTheme="majorHAnsi" w:hAnsiTheme="majorHAnsi" w:cstheme="majorHAnsi"/>
        </w:rPr>
        <w:t>E</w:t>
      </w:r>
      <w:r w:rsidRPr="00480EC9">
        <w:rPr>
          <w:rFonts w:asciiTheme="majorHAnsi" w:hAnsiTheme="majorHAnsi" w:cstheme="majorHAnsi"/>
        </w:rPr>
        <w:t>xpand</w:t>
      </w:r>
      <w:r w:rsidR="006A2526">
        <w:rPr>
          <w:rFonts w:asciiTheme="majorHAnsi" w:hAnsiTheme="majorHAnsi" w:cstheme="majorHAnsi"/>
        </w:rPr>
        <w:t>s</w:t>
      </w:r>
      <w:r w:rsidRPr="00480EC9">
        <w:rPr>
          <w:rFonts w:asciiTheme="majorHAnsi" w:hAnsiTheme="majorHAnsi" w:cstheme="majorHAnsi"/>
        </w:rPr>
        <w:t xml:space="preserve"> the list of entities classified as prohibited organizations for purposes of restrictions on covered communications equipment and services.</w:t>
      </w:r>
      <w:r w:rsidR="00DF5657">
        <w:rPr>
          <w:rFonts w:asciiTheme="majorHAnsi" w:hAnsiTheme="majorHAnsi" w:cstheme="majorHAnsi"/>
        </w:rPr>
        <w:t xml:space="preserve"> The bill </w:t>
      </w:r>
      <w:r w:rsidR="00A76664">
        <w:rPr>
          <w:rFonts w:asciiTheme="majorHAnsi" w:hAnsiTheme="majorHAnsi" w:cstheme="majorHAnsi"/>
        </w:rPr>
        <w:t>requires a s</w:t>
      </w:r>
      <w:r w:rsidR="004E717E">
        <w:rPr>
          <w:rFonts w:asciiTheme="majorHAnsi" w:hAnsiTheme="majorHAnsi" w:cstheme="majorHAnsi"/>
        </w:rPr>
        <w:t xml:space="preserve">tate-level registration system </w:t>
      </w:r>
      <w:r w:rsidR="00A82A9E">
        <w:rPr>
          <w:rFonts w:asciiTheme="majorHAnsi" w:hAnsiTheme="majorHAnsi" w:cstheme="majorHAnsi"/>
        </w:rPr>
        <w:t>and regulation</w:t>
      </w:r>
      <w:r w:rsidR="00D36A47">
        <w:rPr>
          <w:rFonts w:asciiTheme="majorHAnsi" w:hAnsiTheme="majorHAnsi" w:cstheme="majorHAnsi"/>
        </w:rPr>
        <w:t xml:space="preserve"> for telecommunications providers and their </w:t>
      </w:r>
      <w:r w:rsidR="00A82A9E">
        <w:rPr>
          <w:rFonts w:asciiTheme="majorHAnsi" w:hAnsiTheme="majorHAnsi" w:cstheme="majorHAnsi"/>
        </w:rPr>
        <w:t xml:space="preserve">critical communications infrastructure </w:t>
      </w:r>
      <w:r w:rsidR="004E717E">
        <w:rPr>
          <w:rFonts w:asciiTheme="majorHAnsi" w:hAnsiTheme="majorHAnsi" w:cstheme="majorHAnsi"/>
        </w:rPr>
        <w:t>unde</w:t>
      </w:r>
      <w:r w:rsidR="001D4C0E">
        <w:rPr>
          <w:rFonts w:asciiTheme="majorHAnsi" w:hAnsiTheme="majorHAnsi" w:cstheme="majorHAnsi"/>
        </w:rPr>
        <w:t>r</w:t>
      </w:r>
      <w:r w:rsidR="004E717E">
        <w:rPr>
          <w:rFonts w:asciiTheme="majorHAnsi" w:hAnsiTheme="majorHAnsi" w:cstheme="majorHAnsi"/>
        </w:rPr>
        <w:t xml:space="preserve"> the ICC</w:t>
      </w:r>
      <w:r w:rsidR="00D36A47">
        <w:rPr>
          <w:rFonts w:asciiTheme="majorHAnsi" w:hAnsiTheme="majorHAnsi" w:cstheme="majorHAnsi"/>
        </w:rPr>
        <w:t>.</w:t>
      </w:r>
    </w:p>
    <w:p w14:paraId="66F9DA94" w14:textId="77777777" w:rsidR="00347D67" w:rsidRPr="00480EC9" w:rsidRDefault="00C14D05" w:rsidP="00A42D23">
      <w:pPr>
        <w:spacing w:after="0"/>
        <w:rPr>
          <w:rFonts w:asciiTheme="majorHAnsi" w:hAnsiTheme="majorHAnsi" w:cstheme="majorHAnsi"/>
        </w:rPr>
      </w:pPr>
      <w:r w:rsidRPr="00480EC9">
        <w:rPr>
          <w:rFonts w:asciiTheme="majorHAnsi" w:hAnsiTheme="majorHAnsi" w:cstheme="majorHAnsi"/>
        </w:rPr>
        <w:t>Key Statutory Provisions:</w:t>
      </w:r>
    </w:p>
    <w:p w14:paraId="303017D7" w14:textId="77777777" w:rsidR="00996FE5" w:rsidRDefault="00996FE5" w:rsidP="00A42D23">
      <w:pPr>
        <w:pStyle w:val="ListParagraph"/>
        <w:numPr>
          <w:ilvl w:val="0"/>
          <w:numId w:val="23"/>
        </w:numPr>
        <w:rPr>
          <w:rFonts w:asciiTheme="majorHAnsi" w:hAnsiTheme="majorHAnsi" w:cstheme="majorHAnsi"/>
        </w:rPr>
      </w:pPr>
      <w:r w:rsidRPr="00996FE5">
        <w:rPr>
          <w:rFonts w:asciiTheme="majorHAnsi" w:hAnsiTheme="majorHAnsi" w:cstheme="majorHAnsi"/>
        </w:rPr>
        <w:t>All critical telecommunications infrastructure located within or serving the State shall be constructed not to include any equipment manufactured by a federally banned corporation, nor any equipment banned at the federal level.</w:t>
      </w:r>
    </w:p>
    <w:p w14:paraId="1C918EE9" w14:textId="376B7339" w:rsidR="001D4C0E" w:rsidRDefault="00996FE5" w:rsidP="00A42D23">
      <w:pPr>
        <w:pStyle w:val="ListParagraph"/>
        <w:numPr>
          <w:ilvl w:val="0"/>
          <w:numId w:val="23"/>
        </w:numPr>
        <w:rPr>
          <w:rFonts w:asciiTheme="majorHAnsi" w:hAnsiTheme="majorHAnsi" w:cstheme="majorHAnsi"/>
        </w:rPr>
      </w:pPr>
      <w:r w:rsidRPr="00996FE5">
        <w:rPr>
          <w:rFonts w:asciiTheme="majorHAnsi" w:hAnsiTheme="majorHAnsi" w:cstheme="majorHAnsi"/>
        </w:rPr>
        <w:t>All critical telecommunications infrastructure located within or serving the State shall be constructed not to include any equipment manufactured in or by, including any equipment whose critical or necessary components are manufactured in or by, a foreign adversary, a state-owned enterprise of a foreign adversary, or a company domiciled within a foreign adversary</w:t>
      </w:r>
    </w:p>
    <w:p w14:paraId="6420D0AC" w14:textId="77777777" w:rsidR="00756DA6" w:rsidRDefault="00164F5A" w:rsidP="00A42D23">
      <w:pPr>
        <w:pStyle w:val="ListParagraph"/>
        <w:numPr>
          <w:ilvl w:val="0"/>
          <w:numId w:val="23"/>
        </w:numPr>
        <w:rPr>
          <w:rFonts w:asciiTheme="majorHAnsi" w:hAnsiTheme="majorHAnsi" w:cstheme="majorHAnsi"/>
        </w:rPr>
      </w:pPr>
      <w:r w:rsidRPr="00164F5A">
        <w:rPr>
          <w:rFonts w:asciiTheme="majorHAnsi" w:hAnsiTheme="majorHAnsi" w:cstheme="majorHAnsi"/>
        </w:rPr>
        <w:t xml:space="preserve">Any telecommunications provider providing service in Illinois shall file a registration form with, and pay a registration fee to, the Commission by September 1, 2027, and then on January 1 every year thereafter. </w:t>
      </w:r>
    </w:p>
    <w:p w14:paraId="500A4796" w14:textId="3E4B26EB" w:rsidR="00D36A47" w:rsidRDefault="00787519" w:rsidP="00A42D23">
      <w:pPr>
        <w:pStyle w:val="ListParagraph"/>
        <w:numPr>
          <w:ilvl w:val="0"/>
          <w:numId w:val="23"/>
        </w:numPr>
        <w:rPr>
          <w:rFonts w:asciiTheme="majorHAnsi" w:hAnsiTheme="majorHAnsi" w:cstheme="majorHAnsi"/>
        </w:rPr>
      </w:pPr>
      <w:r w:rsidRPr="00EB2DE2">
        <w:rPr>
          <w:rFonts w:asciiTheme="majorHAnsi" w:hAnsiTheme="majorHAnsi" w:cstheme="majorHAnsi"/>
        </w:rPr>
        <w:t xml:space="preserve">A telecommunications provider shall provide the </w:t>
      </w:r>
      <w:r w:rsidR="00EB2DE2" w:rsidRPr="00EB2DE2">
        <w:rPr>
          <w:rFonts w:asciiTheme="majorHAnsi" w:hAnsiTheme="majorHAnsi" w:cstheme="majorHAnsi"/>
        </w:rPr>
        <w:t xml:space="preserve">Commission with the name, address, telephone number, and </w:t>
      </w:r>
      <w:r w:rsidR="00EB2DE2">
        <w:rPr>
          <w:rFonts w:asciiTheme="majorHAnsi" w:hAnsiTheme="majorHAnsi" w:cstheme="majorHAnsi"/>
        </w:rPr>
        <w:t xml:space="preserve">email </w:t>
      </w:r>
      <w:r w:rsidR="00EB2DE2" w:rsidRPr="00EB2DE2">
        <w:rPr>
          <w:rFonts w:asciiTheme="majorHAnsi" w:hAnsiTheme="majorHAnsi" w:cstheme="majorHAnsi"/>
        </w:rPr>
        <w:t>address of a person with managerial responsibility for the Illinois operations.</w:t>
      </w:r>
    </w:p>
    <w:p w14:paraId="53AE9B2C" w14:textId="77777777" w:rsidR="00281059" w:rsidRDefault="006266A9" w:rsidP="00D36A47">
      <w:pPr>
        <w:pStyle w:val="ListParagraph"/>
        <w:numPr>
          <w:ilvl w:val="0"/>
          <w:numId w:val="23"/>
        </w:numPr>
        <w:rPr>
          <w:rFonts w:asciiTheme="majorHAnsi" w:hAnsiTheme="majorHAnsi" w:cstheme="majorHAnsi"/>
        </w:rPr>
      </w:pPr>
      <w:r w:rsidRPr="006266A9">
        <w:rPr>
          <w:rFonts w:asciiTheme="majorHAnsi" w:hAnsiTheme="majorHAnsi" w:cstheme="majorHAnsi"/>
        </w:rPr>
        <w:t xml:space="preserve">A telecommunications provider shall: (1) submit a registration fee at the time of submission of the registration form not to exceed $50; (2) keep the information required by this Section current and notify the Commission of any changes to such information within 60 days after the change; and (3) certify to the Commission by January 1 each year that all critical telecommunications equipment and infrastructure within its operation does not use or provide any communications equipment or service covered under Section 15. </w:t>
      </w:r>
    </w:p>
    <w:p w14:paraId="18FE8D25" w14:textId="20067784" w:rsidR="00A67DF0" w:rsidRDefault="006266A9" w:rsidP="0092650C">
      <w:pPr>
        <w:pStyle w:val="ListParagraph"/>
        <w:numPr>
          <w:ilvl w:val="0"/>
          <w:numId w:val="23"/>
        </w:numPr>
        <w:rPr>
          <w:rFonts w:asciiTheme="majorHAnsi" w:hAnsiTheme="majorHAnsi" w:cstheme="majorHAnsi"/>
        </w:rPr>
      </w:pPr>
      <w:r w:rsidRPr="00D36A47">
        <w:rPr>
          <w:rFonts w:asciiTheme="majorHAnsi" w:hAnsiTheme="majorHAnsi" w:cstheme="majorHAnsi"/>
        </w:rPr>
        <w:t xml:space="preserve">The Commission shall impose against any provider that knowingly submits a false registration form under this Section a civil penalty of not less than $10,000 and not more than $100,000 per day of noncompliance. Any telecommunications provider that fails to comply with this Section is prohibited from receiving any State or local funds for the development or support of new or existing critical telecommunications infrastructure, including the Illinois Telecommunications Universal Service Fund, and is </w:t>
      </w:r>
      <w:r w:rsidR="008A0010" w:rsidRPr="00D36A47">
        <w:rPr>
          <w:rFonts w:asciiTheme="majorHAnsi" w:hAnsiTheme="majorHAnsi" w:cstheme="majorHAnsi"/>
        </w:rPr>
        <w:t>prohibited from receiving any federal funds subject to distribution by State or local governments for the development or support of new or existing critical telecommunications infrastructure.</w:t>
      </w:r>
    </w:p>
    <w:p w14:paraId="6878F1A4" w14:textId="77777777" w:rsidR="00B76BE2" w:rsidRDefault="00B76BE2" w:rsidP="004A3842">
      <w:pPr>
        <w:spacing w:after="0"/>
        <w:rPr>
          <w:rFonts w:asciiTheme="majorHAnsi" w:hAnsiTheme="majorHAnsi" w:cstheme="majorHAnsi"/>
          <w:b/>
          <w:bCs/>
          <w:u w:val="single"/>
        </w:rPr>
      </w:pPr>
    </w:p>
    <w:p w14:paraId="271BBD28" w14:textId="77777777" w:rsidR="00B76BE2" w:rsidRDefault="00B76BE2" w:rsidP="004A3842">
      <w:pPr>
        <w:spacing w:after="0"/>
        <w:rPr>
          <w:rFonts w:asciiTheme="majorHAnsi" w:hAnsiTheme="majorHAnsi" w:cstheme="majorHAnsi"/>
          <w:b/>
          <w:bCs/>
          <w:u w:val="single"/>
        </w:rPr>
      </w:pPr>
    </w:p>
    <w:p w14:paraId="6AC216D2" w14:textId="77777777" w:rsidR="00B76BE2" w:rsidRDefault="00B76BE2" w:rsidP="004A3842">
      <w:pPr>
        <w:spacing w:after="0"/>
        <w:rPr>
          <w:rFonts w:asciiTheme="majorHAnsi" w:hAnsiTheme="majorHAnsi" w:cstheme="majorHAnsi"/>
          <w:b/>
          <w:bCs/>
          <w:u w:val="single"/>
        </w:rPr>
      </w:pPr>
    </w:p>
    <w:p w14:paraId="17B6341B" w14:textId="77777777" w:rsidR="00B76BE2" w:rsidRDefault="00B76BE2" w:rsidP="004A3842">
      <w:pPr>
        <w:spacing w:after="0"/>
        <w:rPr>
          <w:rFonts w:asciiTheme="majorHAnsi" w:hAnsiTheme="majorHAnsi" w:cstheme="majorHAnsi"/>
          <w:b/>
          <w:bCs/>
          <w:u w:val="single"/>
        </w:rPr>
      </w:pPr>
    </w:p>
    <w:p w14:paraId="40379436" w14:textId="32F26269" w:rsidR="0092650C" w:rsidRPr="000C05E2" w:rsidRDefault="0092650C" w:rsidP="004A3842">
      <w:pPr>
        <w:spacing w:after="0"/>
        <w:rPr>
          <w:rFonts w:asciiTheme="majorHAnsi" w:hAnsiTheme="majorHAnsi" w:cstheme="majorHAnsi"/>
          <w:b/>
          <w:bCs/>
          <w:u w:val="single"/>
        </w:rPr>
      </w:pPr>
      <w:r w:rsidRPr="000C05E2">
        <w:rPr>
          <w:rFonts w:asciiTheme="majorHAnsi" w:hAnsiTheme="majorHAnsi" w:cstheme="majorHAnsi"/>
          <w:b/>
          <w:bCs/>
          <w:u w:val="single"/>
        </w:rPr>
        <w:lastRenderedPageBreak/>
        <w:t>Video:</w:t>
      </w:r>
    </w:p>
    <w:p w14:paraId="5DE33173" w14:textId="77777777" w:rsidR="00304A2D" w:rsidRPr="00304A2D" w:rsidRDefault="00304A2D" w:rsidP="00304A2D">
      <w:pPr>
        <w:spacing w:after="0"/>
        <w:rPr>
          <w:rFonts w:asciiTheme="majorHAnsi" w:hAnsiTheme="majorHAnsi" w:cstheme="majorHAnsi"/>
          <w:b/>
          <w:bCs/>
        </w:rPr>
      </w:pPr>
      <w:hyperlink r:id="rId23">
        <w:r w:rsidRPr="00304A2D">
          <w:rPr>
            <w:rStyle w:val="Hyperlink"/>
            <w:rFonts w:asciiTheme="majorHAnsi" w:hAnsiTheme="majorHAnsi" w:cstheme="majorHAnsi"/>
            <w:b/>
            <w:bCs/>
          </w:rPr>
          <w:t>SB 2804 – Streaming Advertisement Volume (Sen. Halpin)</w:t>
        </w:r>
      </w:hyperlink>
    </w:p>
    <w:p w14:paraId="6FECF4BF" w14:textId="22C91385" w:rsidR="00304A2D" w:rsidRPr="00304A2D" w:rsidRDefault="00304A2D" w:rsidP="00304A2D">
      <w:pPr>
        <w:rPr>
          <w:rFonts w:asciiTheme="majorHAnsi" w:hAnsiTheme="majorHAnsi" w:cstheme="majorHAnsi"/>
        </w:rPr>
      </w:pPr>
      <w:r w:rsidRPr="00304A2D">
        <w:rPr>
          <w:rFonts w:asciiTheme="majorHAnsi" w:hAnsiTheme="majorHAnsi" w:cstheme="majorHAnsi"/>
        </w:rPr>
        <w:t>Summary:</w:t>
      </w:r>
      <w:r w:rsidR="00917348">
        <w:rPr>
          <w:rFonts w:asciiTheme="majorHAnsi" w:hAnsiTheme="majorHAnsi" w:cstheme="majorHAnsi"/>
        </w:rPr>
        <w:t xml:space="preserve"> </w:t>
      </w:r>
      <w:r w:rsidRPr="00304A2D">
        <w:rPr>
          <w:rFonts w:asciiTheme="majorHAnsi" w:hAnsiTheme="majorHAnsi" w:cstheme="majorHAnsi"/>
        </w:rPr>
        <w:t>Amends consumer protection law to regulate the volume levels of advertisements in streamed video programming, aligning standards for streaming platforms with existing broadcast or cable advertisement volume limits.</w:t>
      </w:r>
    </w:p>
    <w:p w14:paraId="707639C5" w14:textId="77777777" w:rsidR="00304A2D" w:rsidRPr="00304A2D" w:rsidRDefault="00304A2D" w:rsidP="00304A2D">
      <w:pPr>
        <w:spacing w:after="0"/>
        <w:rPr>
          <w:rFonts w:asciiTheme="majorHAnsi" w:hAnsiTheme="majorHAnsi" w:cstheme="majorHAnsi"/>
        </w:rPr>
      </w:pPr>
      <w:r w:rsidRPr="00304A2D">
        <w:rPr>
          <w:rFonts w:asciiTheme="majorHAnsi" w:hAnsiTheme="majorHAnsi" w:cstheme="majorHAnsi"/>
        </w:rPr>
        <w:t>Key Statutory Provisions:</w:t>
      </w:r>
    </w:p>
    <w:p w14:paraId="02933A79" w14:textId="77777777" w:rsidR="00304A2D" w:rsidRPr="00304A2D" w:rsidRDefault="00304A2D" w:rsidP="00304A2D">
      <w:pPr>
        <w:numPr>
          <w:ilvl w:val="0"/>
          <w:numId w:val="1"/>
        </w:numPr>
        <w:spacing w:after="0"/>
        <w:rPr>
          <w:rFonts w:asciiTheme="majorHAnsi" w:hAnsiTheme="majorHAnsi" w:cstheme="majorHAnsi"/>
        </w:rPr>
      </w:pPr>
      <w:r w:rsidRPr="00304A2D">
        <w:rPr>
          <w:rFonts w:asciiTheme="majorHAnsi" w:hAnsiTheme="majorHAnsi" w:cstheme="majorHAnsi"/>
        </w:rPr>
        <w:t>Prohibits streaming advertisements from exceeding specified audio volume thresholds.</w:t>
      </w:r>
    </w:p>
    <w:p w14:paraId="6536E9D4" w14:textId="77777777" w:rsidR="00304A2D" w:rsidRPr="00304A2D" w:rsidRDefault="00304A2D" w:rsidP="00304A2D">
      <w:pPr>
        <w:numPr>
          <w:ilvl w:val="0"/>
          <w:numId w:val="1"/>
        </w:numPr>
        <w:spacing w:after="0"/>
        <w:rPr>
          <w:rFonts w:asciiTheme="majorHAnsi" w:hAnsiTheme="majorHAnsi" w:cstheme="majorHAnsi"/>
        </w:rPr>
      </w:pPr>
      <w:r w:rsidRPr="00304A2D">
        <w:rPr>
          <w:rFonts w:asciiTheme="majorHAnsi" w:hAnsiTheme="majorHAnsi" w:cstheme="majorHAnsi"/>
        </w:rPr>
        <w:t>Authorizes enforcement by the Attorney General or designated agency.</w:t>
      </w:r>
    </w:p>
    <w:p w14:paraId="06B55ADD" w14:textId="6032EB0D" w:rsidR="00304A2D" w:rsidRPr="00304A2D" w:rsidRDefault="00304A2D" w:rsidP="00304A2D">
      <w:pPr>
        <w:numPr>
          <w:ilvl w:val="0"/>
          <w:numId w:val="1"/>
        </w:numPr>
        <w:spacing w:after="0"/>
        <w:rPr>
          <w:rFonts w:asciiTheme="majorHAnsi" w:hAnsiTheme="majorHAnsi" w:cstheme="majorHAnsi"/>
        </w:rPr>
      </w:pPr>
      <w:r w:rsidRPr="00304A2D">
        <w:rPr>
          <w:rFonts w:asciiTheme="majorHAnsi" w:hAnsiTheme="majorHAnsi" w:cstheme="majorHAnsi"/>
        </w:rPr>
        <w:t xml:space="preserve">Applies </w:t>
      </w:r>
      <w:r w:rsidR="0019520A">
        <w:rPr>
          <w:rFonts w:asciiTheme="majorHAnsi" w:hAnsiTheme="majorHAnsi" w:cstheme="majorHAnsi"/>
        </w:rPr>
        <w:t xml:space="preserve">specifically </w:t>
      </w:r>
      <w:r w:rsidRPr="00304A2D">
        <w:rPr>
          <w:rFonts w:asciiTheme="majorHAnsi" w:hAnsiTheme="majorHAnsi" w:cstheme="majorHAnsi"/>
        </w:rPr>
        <w:t>to streaming video programming provider</w:t>
      </w:r>
      <w:r w:rsidR="005358B3">
        <w:rPr>
          <w:rFonts w:asciiTheme="majorHAnsi" w:hAnsiTheme="majorHAnsi" w:cstheme="majorHAnsi"/>
        </w:rPr>
        <w:t>s</w:t>
      </w:r>
      <w:r w:rsidRPr="00304A2D">
        <w:rPr>
          <w:rFonts w:asciiTheme="majorHAnsi" w:hAnsiTheme="majorHAnsi" w:cstheme="majorHAnsi"/>
        </w:rPr>
        <w:t>.</w:t>
      </w:r>
    </w:p>
    <w:p w14:paraId="0B282265" w14:textId="77777777" w:rsidR="00FA4616" w:rsidRDefault="00FA4616" w:rsidP="004A3842">
      <w:pPr>
        <w:spacing w:after="0"/>
        <w:rPr>
          <w:rFonts w:asciiTheme="majorHAnsi" w:hAnsiTheme="majorHAnsi" w:cstheme="majorHAnsi"/>
          <w:b/>
          <w:bCs/>
          <w:u w:val="single"/>
        </w:rPr>
      </w:pPr>
    </w:p>
    <w:p w14:paraId="324DA706" w14:textId="474708C4" w:rsidR="00235F44" w:rsidRPr="000C05E2" w:rsidRDefault="00235F44" w:rsidP="004A3842">
      <w:pPr>
        <w:spacing w:after="0"/>
        <w:rPr>
          <w:rFonts w:asciiTheme="majorHAnsi" w:hAnsiTheme="majorHAnsi" w:cstheme="majorHAnsi"/>
          <w:b/>
          <w:bCs/>
          <w:u w:val="single"/>
        </w:rPr>
      </w:pPr>
      <w:r w:rsidRPr="000C05E2">
        <w:rPr>
          <w:rFonts w:asciiTheme="majorHAnsi" w:hAnsiTheme="majorHAnsi" w:cstheme="majorHAnsi"/>
          <w:b/>
          <w:bCs/>
          <w:u w:val="single"/>
        </w:rPr>
        <w:t>Consumer Protection:</w:t>
      </w:r>
    </w:p>
    <w:p w14:paraId="1D703EB8" w14:textId="77777777" w:rsidR="00084BAE" w:rsidRPr="0083258F" w:rsidRDefault="00084BAE" w:rsidP="00084BAE">
      <w:pPr>
        <w:spacing w:after="0"/>
        <w:rPr>
          <w:rFonts w:ascii="Calibri" w:hAnsi="Calibri"/>
          <w:b/>
          <w:bCs/>
          <w:color w:val="EE0000"/>
        </w:rPr>
      </w:pPr>
      <w:hyperlink r:id="rId24">
        <w:r w:rsidRPr="0083258F">
          <w:rPr>
            <w:rFonts w:ascii="Calibri" w:hAnsi="Calibri"/>
            <w:b/>
            <w:bCs/>
            <w:color w:val="EE0000"/>
            <w:u w:val="single"/>
          </w:rPr>
          <w:t>HB 4248 – Algorithmic Price Transparency (Rep. Buckner)</w:t>
        </w:r>
      </w:hyperlink>
    </w:p>
    <w:p w14:paraId="7622E378" w14:textId="4EB05A29" w:rsidR="00084BAE" w:rsidRPr="00084BAE" w:rsidRDefault="00084BAE" w:rsidP="00084BAE">
      <w:pPr>
        <w:rPr>
          <w:rFonts w:ascii="Calibri" w:hAnsi="Calibri"/>
        </w:rPr>
      </w:pPr>
      <w:r w:rsidRPr="00084BAE">
        <w:rPr>
          <w:rFonts w:ascii="Calibri" w:hAnsi="Calibri"/>
        </w:rPr>
        <w:t xml:space="preserve">Summary: Creates the Algorithmic Price Transparency Act. Requires businesses using algorithmic systems to set or adjust prices to disclose the use of such systems and establishes </w:t>
      </w:r>
      <w:r w:rsidR="002C1167">
        <w:rPr>
          <w:rFonts w:ascii="Calibri" w:hAnsi="Calibri"/>
        </w:rPr>
        <w:t>disclosure</w:t>
      </w:r>
      <w:r w:rsidRPr="00084BAE">
        <w:rPr>
          <w:rFonts w:ascii="Calibri" w:hAnsi="Calibri"/>
        </w:rPr>
        <w:t xml:space="preserve"> requirements </w:t>
      </w:r>
      <w:r w:rsidR="002C1167">
        <w:rPr>
          <w:rFonts w:ascii="Calibri" w:hAnsi="Calibri"/>
        </w:rPr>
        <w:t xml:space="preserve">and consumer rights </w:t>
      </w:r>
      <w:r w:rsidRPr="00084BAE">
        <w:rPr>
          <w:rFonts w:ascii="Calibri" w:hAnsi="Calibri"/>
        </w:rPr>
        <w:t>related to algorithmic pricing practices.</w:t>
      </w:r>
    </w:p>
    <w:p w14:paraId="337D6F80" w14:textId="77777777" w:rsidR="00084BAE" w:rsidRPr="00084BAE" w:rsidRDefault="00084BAE" w:rsidP="00084BAE">
      <w:pPr>
        <w:spacing w:after="0"/>
        <w:rPr>
          <w:rFonts w:ascii="Calibri" w:hAnsi="Calibri"/>
        </w:rPr>
      </w:pPr>
      <w:r w:rsidRPr="00084BAE">
        <w:rPr>
          <w:rFonts w:ascii="Calibri" w:hAnsi="Calibri"/>
        </w:rPr>
        <w:t>Key Statutory Provisions:</w:t>
      </w:r>
    </w:p>
    <w:p w14:paraId="6E2B538B" w14:textId="77777777" w:rsidR="00084BAE" w:rsidRPr="00084BAE" w:rsidRDefault="00084BAE" w:rsidP="00084BAE">
      <w:pPr>
        <w:numPr>
          <w:ilvl w:val="0"/>
          <w:numId w:val="1"/>
        </w:numPr>
        <w:contextualSpacing/>
        <w:rPr>
          <w:rFonts w:ascii="Calibri" w:hAnsi="Calibri"/>
        </w:rPr>
      </w:pPr>
      <w:r w:rsidRPr="00084BAE">
        <w:rPr>
          <w:rFonts w:ascii="Calibri" w:hAnsi="Calibri"/>
        </w:rPr>
        <w:t>Defines algorithmic pricing system, dynamic pricing, and covered business entities.</w:t>
      </w:r>
    </w:p>
    <w:p w14:paraId="0F30F7BB" w14:textId="77777777" w:rsidR="00084BAE" w:rsidRPr="00084BAE" w:rsidRDefault="00084BAE" w:rsidP="00084BAE">
      <w:pPr>
        <w:numPr>
          <w:ilvl w:val="0"/>
          <w:numId w:val="1"/>
        </w:numPr>
        <w:contextualSpacing/>
        <w:rPr>
          <w:rFonts w:ascii="Calibri" w:hAnsi="Calibri"/>
        </w:rPr>
      </w:pPr>
      <w:r w:rsidRPr="00084BAE">
        <w:rPr>
          <w:rFonts w:ascii="Calibri" w:hAnsi="Calibri"/>
        </w:rPr>
        <w:t>Requires clear and conspicuous disclosure when prices are determined or materially influenced by an algorithmic system.</w:t>
      </w:r>
    </w:p>
    <w:p w14:paraId="649C7AB4" w14:textId="77777777" w:rsidR="00084BAE" w:rsidRPr="00084BAE" w:rsidRDefault="00084BAE" w:rsidP="00084BAE">
      <w:pPr>
        <w:numPr>
          <w:ilvl w:val="0"/>
          <w:numId w:val="1"/>
        </w:numPr>
        <w:contextualSpacing/>
        <w:rPr>
          <w:rFonts w:ascii="Calibri" w:hAnsi="Calibri"/>
        </w:rPr>
      </w:pPr>
      <w:r w:rsidRPr="00084BAE">
        <w:rPr>
          <w:rFonts w:ascii="Calibri" w:hAnsi="Calibri"/>
        </w:rPr>
        <w:t>Prohibits deceptive or unfair practices related to undisclosed algorithmic price adjustments.</w:t>
      </w:r>
    </w:p>
    <w:p w14:paraId="621C26F4" w14:textId="61B0D2BC" w:rsidR="00084BAE" w:rsidRPr="00084BAE" w:rsidRDefault="00084BAE" w:rsidP="00084BAE">
      <w:pPr>
        <w:numPr>
          <w:ilvl w:val="0"/>
          <w:numId w:val="1"/>
        </w:numPr>
        <w:contextualSpacing/>
        <w:rPr>
          <w:rFonts w:ascii="Calibri" w:hAnsi="Calibri"/>
        </w:rPr>
      </w:pPr>
      <w:r w:rsidRPr="00084BAE">
        <w:rPr>
          <w:rFonts w:ascii="Calibri" w:hAnsi="Calibri"/>
        </w:rPr>
        <w:t xml:space="preserve">Authorizes enforcement </w:t>
      </w:r>
      <w:r w:rsidR="008E5CEE">
        <w:rPr>
          <w:rFonts w:ascii="Calibri" w:hAnsi="Calibri"/>
        </w:rPr>
        <w:t xml:space="preserve">by the Attorney General and </w:t>
      </w:r>
      <w:r w:rsidR="00FF0C4E">
        <w:rPr>
          <w:rFonts w:ascii="Calibri" w:hAnsi="Calibri"/>
        </w:rPr>
        <w:t xml:space="preserve">under </w:t>
      </w:r>
      <w:r w:rsidR="002C1167">
        <w:rPr>
          <w:rFonts w:ascii="Calibri" w:hAnsi="Calibri"/>
        </w:rPr>
        <w:t xml:space="preserve">the </w:t>
      </w:r>
      <w:r w:rsidR="008E5CEE">
        <w:rPr>
          <w:rFonts w:ascii="Calibri" w:hAnsi="Calibri"/>
        </w:rPr>
        <w:t xml:space="preserve">Consumer </w:t>
      </w:r>
      <w:r w:rsidR="002C1167">
        <w:rPr>
          <w:rFonts w:ascii="Calibri" w:hAnsi="Calibri"/>
        </w:rPr>
        <w:t>Fraud and Dec</w:t>
      </w:r>
      <w:r w:rsidR="008E5CEE">
        <w:rPr>
          <w:rFonts w:ascii="Calibri" w:hAnsi="Calibri"/>
        </w:rPr>
        <w:t>eptive Business Practices Act</w:t>
      </w:r>
      <w:r w:rsidRPr="00084BAE">
        <w:rPr>
          <w:rFonts w:ascii="Calibri" w:hAnsi="Calibri"/>
        </w:rPr>
        <w:t>, including civil penalties and injunctive relief.</w:t>
      </w:r>
    </w:p>
    <w:p w14:paraId="6D0F3721" w14:textId="77777777" w:rsidR="00084BAE" w:rsidRDefault="00084BAE" w:rsidP="007740A0">
      <w:pPr>
        <w:numPr>
          <w:ilvl w:val="0"/>
          <w:numId w:val="1"/>
        </w:numPr>
        <w:spacing w:after="0"/>
        <w:contextualSpacing/>
        <w:rPr>
          <w:rFonts w:ascii="Calibri" w:hAnsi="Calibri"/>
        </w:rPr>
      </w:pPr>
      <w:r w:rsidRPr="00084BAE">
        <w:rPr>
          <w:rFonts w:ascii="Calibri" w:hAnsi="Calibri"/>
        </w:rPr>
        <w:t>Applies broadly to businesses using algorithmic pricing and is not specific solely to telecommunications or broadband companies.</w:t>
      </w:r>
    </w:p>
    <w:p w14:paraId="7F75E22F" w14:textId="77777777" w:rsidR="00084BAE" w:rsidRPr="00084BAE" w:rsidRDefault="00084BAE" w:rsidP="00084BAE">
      <w:pPr>
        <w:contextualSpacing/>
        <w:rPr>
          <w:rFonts w:ascii="Calibri" w:hAnsi="Calibri"/>
        </w:rPr>
      </w:pPr>
    </w:p>
    <w:p w14:paraId="7BC2DAAE" w14:textId="77777777" w:rsidR="00084BAE" w:rsidRPr="0083258F" w:rsidRDefault="00084BAE" w:rsidP="00084BAE">
      <w:pPr>
        <w:spacing w:after="0"/>
        <w:rPr>
          <w:rFonts w:ascii="Calibri" w:hAnsi="Calibri"/>
          <w:b/>
          <w:bCs/>
          <w:color w:val="EE0000"/>
        </w:rPr>
      </w:pPr>
      <w:hyperlink r:id="rId25">
        <w:r w:rsidRPr="0083258F">
          <w:rPr>
            <w:rFonts w:ascii="Calibri" w:hAnsi="Calibri"/>
            <w:b/>
            <w:bCs/>
            <w:color w:val="EE0000"/>
            <w:u w:val="single"/>
          </w:rPr>
          <w:t>HB 4544 – Algorithmic Pricing (Rep. Delgado)</w:t>
        </w:r>
      </w:hyperlink>
    </w:p>
    <w:p w14:paraId="7D4C426A" w14:textId="2139661D" w:rsidR="00084BAE" w:rsidRPr="00084BAE" w:rsidRDefault="00084BAE" w:rsidP="00084BAE">
      <w:pPr>
        <w:rPr>
          <w:rFonts w:ascii="Calibri" w:hAnsi="Calibri"/>
        </w:rPr>
      </w:pPr>
      <w:r w:rsidRPr="00084BAE">
        <w:rPr>
          <w:rFonts w:ascii="Calibri" w:hAnsi="Calibri"/>
        </w:rPr>
        <w:t>Summary: Regulates the use of algorithmic pricing systems in commerce. Establishes requirements for transparency, consumer notice, and compliance when a</w:t>
      </w:r>
      <w:r w:rsidR="00BB4884">
        <w:rPr>
          <w:rFonts w:ascii="Calibri" w:hAnsi="Calibri"/>
        </w:rPr>
        <w:t>l</w:t>
      </w:r>
      <w:r w:rsidR="008745BB">
        <w:rPr>
          <w:rFonts w:ascii="Calibri" w:hAnsi="Calibri"/>
        </w:rPr>
        <w:t>go</w:t>
      </w:r>
      <w:r w:rsidR="00BB4884">
        <w:rPr>
          <w:rFonts w:ascii="Calibri" w:hAnsi="Calibri"/>
        </w:rPr>
        <w:t>rith</w:t>
      </w:r>
      <w:r w:rsidR="008745BB">
        <w:rPr>
          <w:rFonts w:ascii="Calibri" w:hAnsi="Calibri"/>
        </w:rPr>
        <w:t>m</w:t>
      </w:r>
      <w:r w:rsidR="00BB4884">
        <w:rPr>
          <w:rFonts w:ascii="Calibri" w:hAnsi="Calibri"/>
        </w:rPr>
        <w:t>ic</w:t>
      </w:r>
      <w:r w:rsidRPr="00084BAE">
        <w:rPr>
          <w:rFonts w:ascii="Calibri" w:hAnsi="Calibri"/>
        </w:rPr>
        <w:t xml:space="preserve"> systems are used to determine or adjust consumer prices.</w:t>
      </w:r>
    </w:p>
    <w:p w14:paraId="719CCA6D" w14:textId="77777777" w:rsidR="00084BAE" w:rsidRPr="00084BAE" w:rsidRDefault="00084BAE" w:rsidP="00084BAE">
      <w:pPr>
        <w:spacing w:after="0"/>
        <w:rPr>
          <w:rFonts w:ascii="Calibri" w:hAnsi="Calibri"/>
        </w:rPr>
      </w:pPr>
      <w:r w:rsidRPr="00084BAE">
        <w:rPr>
          <w:rFonts w:ascii="Calibri" w:hAnsi="Calibri"/>
        </w:rPr>
        <w:t>Key Statutory Provisions:</w:t>
      </w:r>
    </w:p>
    <w:p w14:paraId="77A02865" w14:textId="037A5B1B" w:rsidR="00084BAE" w:rsidRPr="00084BAE" w:rsidRDefault="00084BAE" w:rsidP="00084BAE">
      <w:pPr>
        <w:numPr>
          <w:ilvl w:val="0"/>
          <w:numId w:val="1"/>
        </w:numPr>
        <w:contextualSpacing/>
        <w:rPr>
          <w:rFonts w:ascii="Calibri" w:hAnsi="Calibri"/>
        </w:rPr>
      </w:pPr>
      <w:r w:rsidRPr="00084BAE">
        <w:rPr>
          <w:rFonts w:ascii="Calibri" w:hAnsi="Calibri"/>
        </w:rPr>
        <w:t xml:space="preserve">Requires disclosure to consumers when pricing is generated or adjusted using automated </w:t>
      </w:r>
      <w:r w:rsidR="00FC63F2">
        <w:rPr>
          <w:rFonts w:ascii="Calibri" w:hAnsi="Calibri"/>
        </w:rPr>
        <w:t xml:space="preserve">algorithmic </w:t>
      </w:r>
      <w:r w:rsidRPr="00084BAE">
        <w:rPr>
          <w:rFonts w:ascii="Calibri" w:hAnsi="Calibri"/>
        </w:rPr>
        <w:t>systems.</w:t>
      </w:r>
    </w:p>
    <w:p w14:paraId="563A9371" w14:textId="0805CFB6" w:rsidR="00084BAE" w:rsidRPr="00084BAE" w:rsidRDefault="00084BAE" w:rsidP="00084BAE">
      <w:pPr>
        <w:numPr>
          <w:ilvl w:val="0"/>
          <w:numId w:val="1"/>
        </w:numPr>
        <w:contextualSpacing/>
        <w:rPr>
          <w:rFonts w:ascii="Calibri" w:hAnsi="Calibri"/>
        </w:rPr>
      </w:pPr>
      <w:r w:rsidRPr="00084BAE">
        <w:rPr>
          <w:rFonts w:ascii="Calibri" w:hAnsi="Calibri"/>
        </w:rPr>
        <w:t>Prohibits algorithmic pricing</w:t>
      </w:r>
      <w:r w:rsidR="002E6F8C">
        <w:rPr>
          <w:rFonts w:ascii="Calibri" w:hAnsi="Calibri"/>
        </w:rPr>
        <w:t xml:space="preserve"> that </w:t>
      </w:r>
      <w:r w:rsidR="00FF0C4E">
        <w:rPr>
          <w:rFonts w:ascii="Calibri" w:hAnsi="Calibri"/>
        </w:rPr>
        <w:t>use</w:t>
      </w:r>
      <w:r w:rsidR="00FC63F2">
        <w:rPr>
          <w:rFonts w:ascii="Calibri" w:hAnsi="Calibri"/>
        </w:rPr>
        <w:t>s</w:t>
      </w:r>
      <w:r w:rsidR="002E6F8C">
        <w:rPr>
          <w:rFonts w:ascii="Calibri" w:hAnsi="Calibri"/>
        </w:rPr>
        <w:t xml:space="preserve"> protected class data that is legally protected</w:t>
      </w:r>
      <w:r w:rsidR="00242D48">
        <w:rPr>
          <w:rFonts w:ascii="Calibri" w:hAnsi="Calibri"/>
        </w:rPr>
        <w:t xml:space="preserve"> from discrimination under federal or state law</w:t>
      </w:r>
      <w:r w:rsidRPr="00084BAE">
        <w:rPr>
          <w:rFonts w:ascii="Calibri" w:hAnsi="Calibri"/>
        </w:rPr>
        <w:t>.</w:t>
      </w:r>
    </w:p>
    <w:p w14:paraId="20372D7F" w14:textId="77777777" w:rsidR="00084BAE" w:rsidRPr="00084BAE" w:rsidRDefault="00084BAE" w:rsidP="00084BAE">
      <w:pPr>
        <w:numPr>
          <w:ilvl w:val="0"/>
          <w:numId w:val="1"/>
        </w:numPr>
        <w:contextualSpacing/>
        <w:rPr>
          <w:rFonts w:ascii="Calibri" w:hAnsi="Calibri"/>
        </w:rPr>
      </w:pPr>
      <w:r w:rsidRPr="00084BAE">
        <w:rPr>
          <w:rFonts w:ascii="Calibri" w:hAnsi="Calibri"/>
        </w:rPr>
        <w:t>Provides enforcement authority and civil penalties for violations.</w:t>
      </w:r>
    </w:p>
    <w:p w14:paraId="7FD913A3" w14:textId="77777777" w:rsidR="00084BAE" w:rsidRDefault="00084BAE" w:rsidP="00084BAE">
      <w:pPr>
        <w:numPr>
          <w:ilvl w:val="0"/>
          <w:numId w:val="1"/>
        </w:numPr>
        <w:contextualSpacing/>
        <w:rPr>
          <w:rFonts w:ascii="Calibri" w:hAnsi="Calibri"/>
        </w:rPr>
      </w:pPr>
      <w:r w:rsidRPr="00084BAE">
        <w:rPr>
          <w:rFonts w:ascii="Calibri" w:hAnsi="Calibri"/>
        </w:rPr>
        <w:t>Applies generally to businesses using algorithmic pricing and is not specific solely to telecommunications or broadband companies.</w:t>
      </w:r>
    </w:p>
    <w:p w14:paraId="2580B9EC" w14:textId="77777777" w:rsidR="00084BAE" w:rsidRDefault="00084BAE" w:rsidP="00084BAE">
      <w:pPr>
        <w:contextualSpacing/>
        <w:rPr>
          <w:rFonts w:ascii="Calibri" w:hAnsi="Calibri"/>
        </w:rPr>
      </w:pPr>
    </w:p>
    <w:p w14:paraId="5F7205B8" w14:textId="77777777" w:rsidR="00B76BE2" w:rsidRPr="00084BAE" w:rsidRDefault="00B76BE2" w:rsidP="00084BAE">
      <w:pPr>
        <w:contextualSpacing/>
        <w:rPr>
          <w:rFonts w:ascii="Calibri" w:hAnsi="Calibri"/>
        </w:rPr>
      </w:pPr>
    </w:p>
    <w:p w14:paraId="45D33E63" w14:textId="77777777" w:rsidR="00084BAE" w:rsidRPr="00084BAE" w:rsidRDefault="00084BAE" w:rsidP="00084BAE">
      <w:pPr>
        <w:spacing w:after="0"/>
        <w:rPr>
          <w:rFonts w:ascii="Calibri" w:hAnsi="Calibri"/>
          <w:b/>
          <w:bCs/>
        </w:rPr>
      </w:pPr>
      <w:hyperlink r:id="rId26">
        <w:r w:rsidRPr="00084BAE">
          <w:rPr>
            <w:rFonts w:ascii="Calibri" w:hAnsi="Calibri"/>
            <w:b/>
            <w:bCs/>
            <w:color w:val="0000FF"/>
            <w:u w:val="single"/>
          </w:rPr>
          <w:t>HB 4592 – Acceptance Of Cash Payments (Rep. Mayfield)</w:t>
        </w:r>
      </w:hyperlink>
    </w:p>
    <w:p w14:paraId="540D44A4" w14:textId="11C9A623" w:rsidR="00084BAE" w:rsidRPr="00084BAE" w:rsidRDefault="00084BAE" w:rsidP="00084BAE">
      <w:pPr>
        <w:rPr>
          <w:rFonts w:ascii="Calibri" w:hAnsi="Calibri"/>
        </w:rPr>
      </w:pPr>
      <w:r w:rsidRPr="00084BAE">
        <w:rPr>
          <w:rFonts w:ascii="Calibri" w:hAnsi="Calibri"/>
        </w:rPr>
        <w:t>Summary: Requires certain retail establishments to accept cash as a form of payment for goods and services</w:t>
      </w:r>
      <w:r w:rsidR="00AE38F3">
        <w:rPr>
          <w:rFonts w:ascii="Calibri" w:hAnsi="Calibri"/>
        </w:rPr>
        <w:t xml:space="preserve"> </w:t>
      </w:r>
      <w:r w:rsidR="00537817">
        <w:rPr>
          <w:rFonts w:ascii="Calibri" w:hAnsi="Calibri"/>
        </w:rPr>
        <w:t xml:space="preserve">under $500 that are </w:t>
      </w:r>
      <w:r w:rsidR="00AE38F3">
        <w:rPr>
          <w:rFonts w:ascii="Calibri" w:hAnsi="Calibri"/>
        </w:rPr>
        <w:t>purchased in-person</w:t>
      </w:r>
      <w:r w:rsidRPr="00084BAE">
        <w:rPr>
          <w:rFonts w:ascii="Calibri" w:hAnsi="Calibri"/>
        </w:rPr>
        <w:t>, subject to enumerated exceptions, and establishes penalties for refusal to accept lawful United States currency.</w:t>
      </w:r>
    </w:p>
    <w:p w14:paraId="1C0F17E7" w14:textId="77777777" w:rsidR="00084BAE" w:rsidRPr="00084BAE" w:rsidRDefault="00084BAE" w:rsidP="00084BAE">
      <w:pPr>
        <w:spacing w:after="0"/>
        <w:rPr>
          <w:rFonts w:ascii="Calibri" w:hAnsi="Calibri"/>
        </w:rPr>
      </w:pPr>
      <w:r w:rsidRPr="00084BAE">
        <w:rPr>
          <w:rFonts w:ascii="Calibri" w:hAnsi="Calibri"/>
        </w:rPr>
        <w:t>Key Statutory Provisions:</w:t>
      </w:r>
    </w:p>
    <w:p w14:paraId="0A14C7F9" w14:textId="42BE9EBC" w:rsidR="00084BAE" w:rsidRPr="00084BAE" w:rsidRDefault="00084BAE" w:rsidP="00084BAE">
      <w:pPr>
        <w:numPr>
          <w:ilvl w:val="0"/>
          <w:numId w:val="1"/>
        </w:numPr>
        <w:contextualSpacing/>
        <w:rPr>
          <w:rFonts w:ascii="Calibri" w:hAnsi="Calibri"/>
        </w:rPr>
      </w:pPr>
      <w:r w:rsidRPr="00084BAE">
        <w:rPr>
          <w:rFonts w:ascii="Calibri" w:hAnsi="Calibri"/>
        </w:rPr>
        <w:t>Requires retail businesses to accept cash for in-person transactions for goods or services</w:t>
      </w:r>
      <w:r w:rsidR="00537817">
        <w:rPr>
          <w:rFonts w:ascii="Calibri" w:hAnsi="Calibri"/>
        </w:rPr>
        <w:t xml:space="preserve"> under $500</w:t>
      </w:r>
      <w:r w:rsidRPr="00084BAE">
        <w:rPr>
          <w:rFonts w:ascii="Calibri" w:hAnsi="Calibri"/>
        </w:rPr>
        <w:t>.</w:t>
      </w:r>
    </w:p>
    <w:p w14:paraId="5A4840C5" w14:textId="77777777" w:rsidR="00084BAE" w:rsidRPr="00084BAE" w:rsidRDefault="00084BAE" w:rsidP="00084BAE">
      <w:pPr>
        <w:numPr>
          <w:ilvl w:val="0"/>
          <w:numId w:val="1"/>
        </w:numPr>
        <w:contextualSpacing/>
        <w:rPr>
          <w:rFonts w:ascii="Calibri" w:hAnsi="Calibri"/>
        </w:rPr>
      </w:pPr>
      <w:r w:rsidRPr="00084BAE">
        <w:rPr>
          <w:rFonts w:ascii="Calibri" w:hAnsi="Calibri"/>
        </w:rPr>
        <w:t>Provides limited exceptions for specified transaction types or security-based restrictions as set forth in the Act.</w:t>
      </w:r>
    </w:p>
    <w:p w14:paraId="20E9B0F1" w14:textId="77777777" w:rsidR="00084BAE" w:rsidRPr="00084BAE" w:rsidRDefault="00084BAE" w:rsidP="00084BAE">
      <w:pPr>
        <w:numPr>
          <w:ilvl w:val="0"/>
          <w:numId w:val="1"/>
        </w:numPr>
        <w:contextualSpacing/>
        <w:rPr>
          <w:rFonts w:ascii="Calibri" w:hAnsi="Calibri"/>
        </w:rPr>
      </w:pPr>
      <w:r w:rsidRPr="00084BAE">
        <w:rPr>
          <w:rFonts w:ascii="Calibri" w:hAnsi="Calibri"/>
        </w:rPr>
        <w:t>Prohibits charging higher prices or imposing penalties solely because a consumer pays in cash.</w:t>
      </w:r>
    </w:p>
    <w:p w14:paraId="4035CC31" w14:textId="77777777" w:rsidR="00084BAE" w:rsidRPr="00084BAE" w:rsidRDefault="00084BAE" w:rsidP="00084BAE">
      <w:pPr>
        <w:numPr>
          <w:ilvl w:val="0"/>
          <w:numId w:val="1"/>
        </w:numPr>
        <w:contextualSpacing/>
        <w:rPr>
          <w:rFonts w:ascii="Calibri" w:hAnsi="Calibri"/>
        </w:rPr>
      </w:pPr>
      <w:r w:rsidRPr="00084BAE">
        <w:rPr>
          <w:rFonts w:ascii="Calibri" w:hAnsi="Calibri"/>
        </w:rPr>
        <w:t>Provides enforcement authority and civil penalties for violations.</w:t>
      </w:r>
    </w:p>
    <w:p w14:paraId="6AE747F1" w14:textId="77777777" w:rsidR="00084BAE" w:rsidRDefault="00084BAE" w:rsidP="00084BAE">
      <w:pPr>
        <w:numPr>
          <w:ilvl w:val="0"/>
          <w:numId w:val="1"/>
        </w:numPr>
        <w:contextualSpacing/>
        <w:rPr>
          <w:rFonts w:ascii="Calibri" w:hAnsi="Calibri"/>
        </w:rPr>
      </w:pPr>
      <w:r w:rsidRPr="00084BAE">
        <w:rPr>
          <w:rFonts w:ascii="Calibri" w:hAnsi="Calibri"/>
        </w:rPr>
        <w:t>Applies generally to retail establishments and is not specific solely to telecommunications or broadband companies.</w:t>
      </w:r>
    </w:p>
    <w:p w14:paraId="22FBD1A8" w14:textId="77777777" w:rsidR="00084BAE" w:rsidRPr="00084BAE" w:rsidRDefault="00084BAE" w:rsidP="00084BAE">
      <w:pPr>
        <w:contextualSpacing/>
        <w:rPr>
          <w:rFonts w:ascii="Calibri" w:hAnsi="Calibri"/>
        </w:rPr>
      </w:pPr>
    </w:p>
    <w:p w14:paraId="45BFE814" w14:textId="77777777" w:rsidR="00084BAE" w:rsidRPr="0083258F" w:rsidRDefault="00084BAE" w:rsidP="00084BAE">
      <w:pPr>
        <w:spacing w:after="0"/>
        <w:rPr>
          <w:rFonts w:ascii="Calibri" w:hAnsi="Calibri"/>
          <w:b/>
          <w:bCs/>
          <w:color w:val="EE0000"/>
        </w:rPr>
      </w:pPr>
      <w:hyperlink r:id="rId27">
        <w:r w:rsidRPr="0083258F">
          <w:rPr>
            <w:rFonts w:ascii="Calibri" w:hAnsi="Calibri"/>
            <w:b/>
            <w:bCs/>
            <w:color w:val="EE0000"/>
            <w:u w:val="single"/>
          </w:rPr>
          <w:t>HB 4717 – Algorithmic Pricing Disclosure (Rep. Grant)</w:t>
        </w:r>
      </w:hyperlink>
    </w:p>
    <w:p w14:paraId="6E372719" w14:textId="4A98FD5D" w:rsidR="00084BAE" w:rsidRPr="00084BAE" w:rsidRDefault="00084BAE" w:rsidP="00084BAE">
      <w:pPr>
        <w:rPr>
          <w:rFonts w:ascii="Calibri" w:hAnsi="Calibri"/>
        </w:rPr>
      </w:pPr>
      <w:r w:rsidRPr="00084BAE">
        <w:rPr>
          <w:rFonts w:ascii="Calibri" w:hAnsi="Calibri"/>
        </w:rPr>
        <w:t xml:space="preserve">Summary: Requires disclosure of algorithmic pricing practices and establishes transparency requirements for businesses utilizing automated </w:t>
      </w:r>
      <w:r w:rsidR="00FC63F2">
        <w:rPr>
          <w:rFonts w:ascii="Calibri" w:hAnsi="Calibri"/>
        </w:rPr>
        <w:t xml:space="preserve">algorithmic </w:t>
      </w:r>
      <w:r w:rsidRPr="00084BAE">
        <w:rPr>
          <w:rFonts w:ascii="Calibri" w:hAnsi="Calibri"/>
        </w:rPr>
        <w:t>systems to set or modify consumer prices.</w:t>
      </w:r>
    </w:p>
    <w:p w14:paraId="54E3D022" w14:textId="77777777" w:rsidR="00084BAE" w:rsidRPr="00084BAE" w:rsidRDefault="00084BAE" w:rsidP="00084BAE">
      <w:pPr>
        <w:spacing w:after="0"/>
        <w:rPr>
          <w:rFonts w:ascii="Calibri" w:hAnsi="Calibri"/>
        </w:rPr>
      </w:pPr>
      <w:r w:rsidRPr="00084BAE">
        <w:rPr>
          <w:rFonts w:ascii="Calibri" w:hAnsi="Calibri"/>
        </w:rPr>
        <w:t>Key Statutory Provisions:</w:t>
      </w:r>
    </w:p>
    <w:p w14:paraId="243DC918" w14:textId="77777777" w:rsidR="00084BAE" w:rsidRPr="00084BAE" w:rsidRDefault="00084BAE" w:rsidP="00084BAE">
      <w:pPr>
        <w:numPr>
          <w:ilvl w:val="0"/>
          <w:numId w:val="1"/>
        </w:numPr>
        <w:contextualSpacing/>
        <w:rPr>
          <w:rFonts w:ascii="Calibri" w:hAnsi="Calibri"/>
        </w:rPr>
      </w:pPr>
      <w:r w:rsidRPr="00084BAE">
        <w:rPr>
          <w:rFonts w:ascii="Calibri" w:hAnsi="Calibri"/>
        </w:rPr>
        <w:t>Requires clear consumer disclosure when algorithmic systems are used to determine pricing.</w:t>
      </w:r>
    </w:p>
    <w:p w14:paraId="649CF7EB" w14:textId="42627C67" w:rsidR="00084BAE" w:rsidRPr="00084BAE" w:rsidRDefault="00084BAE" w:rsidP="00084BAE">
      <w:pPr>
        <w:numPr>
          <w:ilvl w:val="0"/>
          <w:numId w:val="1"/>
        </w:numPr>
        <w:contextualSpacing/>
        <w:rPr>
          <w:rFonts w:ascii="Calibri" w:hAnsi="Calibri"/>
        </w:rPr>
      </w:pPr>
      <w:r w:rsidRPr="00084BAE">
        <w:rPr>
          <w:rFonts w:ascii="Calibri" w:hAnsi="Calibri"/>
        </w:rPr>
        <w:t>Provides enforcement authority, including civil penalties.</w:t>
      </w:r>
    </w:p>
    <w:p w14:paraId="74DFEEF9" w14:textId="77777777" w:rsidR="00084BAE" w:rsidRDefault="00084BAE" w:rsidP="00084BAE">
      <w:pPr>
        <w:numPr>
          <w:ilvl w:val="0"/>
          <w:numId w:val="1"/>
        </w:numPr>
        <w:contextualSpacing/>
        <w:rPr>
          <w:rFonts w:ascii="Calibri" w:hAnsi="Calibri"/>
        </w:rPr>
      </w:pPr>
      <w:r w:rsidRPr="00084BAE">
        <w:rPr>
          <w:rFonts w:ascii="Calibri" w:hAnsi="Calibri"/>
        </w:rPr>
        <w:t>Applies broadly to commercial entities using algorithmic pricing and is not specific solely to telecommunications or broadband companies.</w:t>
      </w:r>
    </w:p>
    <w:p w14:paraId="6B56F5A8" w14:textId="77777777" w:rsidR="00084BAE" w:rsidRPr="00084BAE" w:rsidRDefault="00084BAE" w:rsidP="00084BAE">
      <w:pPr>
        <w:contextualSpacing/>
        <w:rPr>
          <w:rFonts w:ascii="Calibri" w:hAnsi="Calibri"/>
        </w:rPr>
      </w:pPr>
    </w:p>
    <w:p w14:paraId="4DDFC948" w14:textId="77777777" w:rsidR="00084BAE" w:rsidRPr="00084BAE" w:rsidRDefault="00084BAE" w:rsidP="00084BAE">
      <w:pPr>
        <w:spacing w:after="0"/>
        <w:rPr>
          <w:rFonts w:ascii="Calibri" w:hAnsi="Calibri"/>
          <w:b/>
          <w:bCs/>
        </w:rPr>
      </w:pPr>
      <w:hyperlink r:id="rId28">
        <w:r w:rsidRPr="00084BAE">
          <w:rPr>
            <w:rFonts w:ascii="Calibri" w:hAnsi="Calibri"/>
            <w:b/>
            <w:bCs/>
            <w:color w:val="0000FF"/>
            <w:u w:val="single"/>
          </w:rPr>
          <w:t>SB 2822 – Digital Purchase Disclosures (Sen. Stadelman)</w:t>
        </w:r>
      </w:hyperlink>
    </w:p>
    <w:p w14:paraId="1D39AEB1" w14:textId="0F13361A" w:rsidR="00084BAE" w:rsidRPr="00084BAE" w:rsidRDefault="00084BAE" w:rsidP="00084BAE">
      <w:pPr>
        <w:rPr>
          <w:rFonts w:ascii="Calibri" w:hAnsi="Calibri"/>
        </w:rPr>
      </w:pPr>
      <w:r w:rsidRPr="00084BAE">
        <w:rPr>
          <w:rFonts w:ascii="Calibri" w:hAnsi="Calibri"/>
        </w:rPr>
        <w:t xml:space="preserve">Summary: Requires enhanced disclosures for digital purchases, including </w:t>
      </w:r>
      <w:r w:rsidR="00637E80">
        <w:rPr>
          <w:rFonts w:ascii="Calibri" w:hAnsi="Calibri"/>
        </w:rPr>
        <w:t>“</w:t>
      </w:r>
      <w:r w:rsidR="00D558DA">
        <w:rPr>
          <w:rFonts w:ascii="Calibri" w:hAnsi="Calibri"/>
        </w:rPr>
        <w:t>digital applications and games,</w:t>
      </w:r>
      <w:r w:rsidR="00637E80">
        <w:rPr>
          <w:rFonts w:ascii="Calibri" w:hAnsi="Calibri"/>
        </w:rPr>
        <w:t>”</w:t>
      </w:r>
      <w:r w:rsidR="00D558DA">
        <w:rPr>
          <w:rFonts w:ascii="Calibri" w:hAnsi="Calibri"/>
        </w:rPr>
        <w:t xml:space="preserve"> </w:t>
      </w:r>
      <w:r w:rsidR="00637E80">
        <w:rPr>
          <w:rFonts w:ascii="Calibri" w:hAnsi="Calibri"/>
        </w:rPr>
        <w:t>“digital audio works,” “digital audiovisual work,”</w:t>
      </w:r>
      <w:r w:rsidR="000C2E69">
        <w:rPr>
          <w:rFonts w:ascii="Calibri" w:hAnsi="Calibri"/>
        </w:rPr>
        <w:t xml:space="preserve"> “digital books,” and “digital codes” </w:t>
      </w:r>
      <w:r w:rsidRPr="00084BAE">
        <w:rPr>
          <w:rFonts w:ascii="Calibri" w:hAnsi="Calibri"/>
        </w:rPr>
        <w:t>to ensure consumers understand pricing terms, renewal conditions, and limitations on ownership rights.</w:t>
      </w:r>
    </w:p>
    <w:p w14:paraId="48EF867B" w14:textId="77777777" w:rsidR="00084BAE" w:rsidRPr="00084BAE" w:rsidRDefault="00084BAE" w:rsidP="00084BAE">
      <w:pPr>
        <w:spacing w:after="0"/>
        <w:rPr>
          <w:rFonts w:ascii="Calibri" w:hAnsi="Calibri"/>
        </w:rPr>
      </w:pPr>
      <w:r w:rsidRPr="00084BAE">
        <w:rPr>
          <w:rFonts w:ascii="Calibri" w:hAnsi="Calibri"/>
        </w:rPr>
        <w:t>Key Statutory Provisions:</w:t>
      </w:r>
    </w:p>
    <w:p w14:paraId="2806EFC8" w14:textId="77777777" w:rsidR="00084BAE" w:rsidRPr="00084BAE" w:rsidRDefault="00084BAE" w:rsidP="00084BAE">
      <w:pPr>
        <w:numPr>
          <w:ilvl w:val="0"/>
          <w:numId w:val="1"/>
        </w:numPr>
        <w:contextualSpacing/>
        <w:rPr>
          <w:rFonts w:ascii="Calibri" w:hAnsi="Calibri"/>
        </w:rPr>
      </w:pPr>
      <w:r w:rsidRPr="00084BAE">
        <w:rPr>
          <w:rFonts w:ascii="Calibri" w:hAnsi="Calibri"/>
        </w:rPr>
        <w:t>Requires clear and conspicuous disclosure of pricing, renewal terms, and cancellation procedures prior to completion of a digital purchase.</w:t>
      </w:r>
    </w:p>
    <w:p w14:paraId="2D298FFE" w14:textId="77777777" w:rsidR="00084BAE" w:rsidRPr="00084BAE" w:rsidRDefault="00084BAE" w:rsidP="00084BAE">
      <w:pPr>
        <w:numPr>
          <w:ilvl w:val="0"/>
          <w:numId w:val="1"/>
        </w:numPr>
        <w:contextualSpacing/>
        <w:rPr>
          <w:rFonts w:ascii="Calibri" w:hAnsi="Calibri"/>
        </w:rPr>
      </w:pPr>
      <w:r w:rsidRPr="00084BAE">
        <w:rPr>
          <w:rFonts w:ascii="Calibri" w:hAnsi="Calibri"/>
        </w:rPr>
        <w:t>Requires disclosure when a digital purchase constitutes a license rather than ownership of a digital good.</w:t>
      </w:r>
    </w:p>
    <w:p w14:paraId="2E85CFED" w14:textId="77777777" w:rsidR="00084BAE" w:rsidRPr="00084BAE" w:rsidRDefault="00084BAE" w:rsidP="00084BAE">
      <w:pPr>
        <w:numPr>
          <w:ilvl w:val="0"/>
          <w:numId w:val="1"/>
        </w:numPr>
        <w:contextualSpacing/>
        <w:rPr>
          <w:rFonts w:ascii="Calibri" w:hAnsi="Calibri"/>
        </w:rPr>
      </w:pPr>
      <w:r w:rsidRPr="00084BAE">
        <w:rPr>
          <w:rFonts w:ascii="Calibri" w:hAnsi="Calibri"/>
        </w:rPr>
        <w:t>Prohibits misleading representations regarding permanence or transferability of digital purchases.</w:t>
      </w:r>
    </w:p>
    <w:p w14:paraId="5E8689F8" w14:textId="6883AE1C" w:rsidR="00084BAE" w:rsidRPr="00084BAE" w:rsidRDefault="00084BAE" w:rsidP="00084BAE">
      <w:pPr>
        <w:numPr>
          <w:ilvl w:val="0"/>
          <w:numId w:val="1"/>
        </w:numPr>
        <w:contextualSpacing/>
        <w:rPr>
          <w:rFonts w:ascii="Calibri" w:hAnsi="Calibri"/>
        </w:rPr>
      </w:pPr>
      <w:r w:rsidRPr="00084BAE">
        <w:rPr>
          <w:rFonts w:ascii="Calibri" w:hAnsi="Calibri"/>
        </w:rPr>
        <w:lastRenderedPageBreak/>
        <w:t>Provides enforcement authority under</w:t>
      </w:r>
      <w:r w:rsidR="008546EA">
        <w:rPr>
          <w:rFonts w:ascii="Calibri" w:hAnsi="Calibri"/>
        </w:rPr>
        <w:t xml:space="preserve"> the Consumer Fraud and Deceptive Business Practices </w:t>
      </w:r>
      <w:r w:rsidRPr="00084BAE">
        <w:rPr>
          <w:rFonts w:ascii="Calibri" w:hAnsi="Calibri"/>
        </w:rPr>
        <w:t>with civil penalties for violations.</w:t>
      </w:r>
    </w:p>
    <w:p w14:paraId="6A67C4E2" w14:textId="77777777" w:rsidR="00084BAE" w:rsidRDefault="00084BAE" w:rsidP="00084BAE">
      <w:pPr>
        <w:numPr>
          <w:ilvl w:val="0"/>
          <w:numId w:val="1"/>
        </w:numPr>
        <w:contextualSpacing/>
        <w:rPr>
          <w:rFonts w:ascii="Calibri" w:hAnsi="Calibri"/>
        </w:rPr>
      </w:pPr>
      <w:r w:rsidRPr="00084BAE">
        <w:rPr>
          <w:rFonts w:ascii="Calibri" w:hAnsi="Calibri"/>
        </w:rPr>
        <w:t>Applies generally to digital sellers and is not specific solely to telecommunications or broadband companies.</w:t>
      </w:r>
    </w:p>
    <w:p w14:paraId="6753AAEB" w14:textId="77777777" w:rsidR="00084BAE" w:rsidRPr="00084BAE" w:rsidRDefault="00084BAE" w:rsidP="00084BAE">
      <w:pPr>
        <w:contextualSpacing/>
        <w:rPr>
          <w:rFonts w:ascii="Calibri" w:hAnsi="Calibri"/>
        </w:rPr>
      </w:pPr>
    </w:p>
    <w:p w14:paraId="29F9117B" w14:textId="77777777" w:rsidR="00084BAE" w:rsidRPr="00084BAE" w:rsidRDefault="00084BAE" w:rsidP="00084BAE">
      <w:pPr>
        <w:spacing w:after="0"/>
        <w:rPr>
          <w:rFonts w:ascii="Calibri" w:hAnsi="Calibri"/>
          <w:b/>
          <w:bCs/>
          <w:color w:val="EE0000"/>
        </w:rPr>
      </w:pPr>
      <w:hyperlink r:id="rId29">
        <w:r w:rsidRPr="00084BAE">
          <w:rPr>
            <w:rFonts w:ascii="Calibri" w:hAnsi="Calibri"/>
            <w:b/>
            <w:bCs/>
            <w:color w:val="EE0000"/>
            <w:u w:val="single"/>
          </w:rPr>
          <w:t>SB 2957 – Tariff Transparency Act (Sen. Stadelman)</w:t>
        </w:r>
      </w:hyperlink>
    </w:p>
    <w:p w14:paraId="53206D6E" w14:textId="1FC839B1" w:rsidR="00084BAE" w:rsidRPr="00084BAE" w:rsidRDefault="00084BAE" w:rsidP="00084BAE">
      <w:pPr>
        <w:rPr>
          <w:rFonts w:ascii="Calibri" w:hAnsi="Calibri"/>
        </w:rPr>
      </w:pPr>
      <w:r w:rsidRPr="00084BAE">
        <w:rPr>
          <w:rFonts w:ascii="Calibri" w:hAnsi="Calibri"/>
        </w:rPr>
        <w:t xml:space="preserve">Summary: Creates the Tariff Transparency Act. Requires </w:t>
      </w:r>
      <w:r w:rsidR="006C6545" w:rsidRPr="006C6545">
        <w:rPr>
          <w:rFonts w:ascii="Calibri" w:hAnsi="Calibri"/>
        </w:rPr>
        <w:t>retail establishment</w:t>
      </w:r>
      <w:r w:rsidR="006C6545">
        <w:rPr>
          <w:rFonts w:ascii="Calibri" w:hAnsi="Calibri"/>
        </w:rPr>
        <w:t>s to</w:t>
      </w:r>
      <w:r w:rsidR="006C6545" w:rsidRPr="006C6545">
        <w:rPr>
          <w:rFonts w:ascii="Calibri" w:hAnsi="Calibri"/>
        </w:rPr>
        <w:t xml:space="preserve"> disclose the percentage or dollar amount of the retail price of a retail product that is attributable to tariffs</w:t>
      </w:r>
      <w:r w:rsidR="006C6545">
        <w:rPr>
          <w:rFonts w:ascii="Calibri" w:hAnsi="Calibri"/>
        </w:rPr>
        <w:t xml:space="preserve"> </w:t>
      </w:r>
      <w:r w:rsidRPr="00084BAE">
        <w:rPr>
          <w:rFonts w:ascii="Calibri" w:hAnsi="Calibri"/>
        </w:rPr>
        <w:t>in a clear and accessible format to consumers.</w:t>
      </w:r>
    </w:p>
    <w:p w14:paraId="1E12F552" w14:textId="77777777" w:rsidR="00084BAE" w:rsidRPr="00084BAE" w:rsidRDefault="00084BAE" w:rsidP="00084BAE">
      <w:pPr>
        <w:spacing w:after="0"/>
        <w:rPr>
          <w:rFonts w:ascii="Calibri" w:hAnsi="Calibri"/>
        </w:rPr>
      </w:pPr>
      <w:r w:rsidRPr="00084BAE">
        <w:rPr>
          <w:rFonts w:ascii="Calibri" w:hAnsi="Calibri"/>
        </w:rPr>
        <w:t>Key Statutory Provisions:</w:t>
      </w:r>
    </w:p>
    <w:p w14:paraId="757F631B" w14:textId="77777777" w:rsidR="00E6646D" w:rsidRDefault="00E6646D" w:rsidP="00084BAE">
      <w:pPr>
        <w:numPr>
          <w:ilvl w:val="0"/>
          <w:numId w:val="1"/>
        </w:numPr>
        <w:contextualSpacing/>
        <w:rPr>
          <w:rFonts w:ascii="Calibri" w:hAnsi="Calibri"/>
        </w:rPr>
      </w:pPr>
      <w:r w:rsidRPr="00E6646D">
        <w:rPr>
          <w:rFonts w:ascii="Calibri" w:hAnsi="Calibri"/>
        </w:rPr>
        <w:t>A retail establishment shall disclose the percentage or dollar amount of the retail price of a retail product that is attributable to tariffs.</w:t>
      </w:r>
    </w:p>
    <w:p w14:paraId="45024F3F" w14:textId="77C1083E" w:rsidR="00084BAE" w:rsidRPr="00084BAE" w:rsidRDefault="00D46183" w:rsidP="00084BAE">
      <w:pPr>
        <w:numPr>
          <w:ilvl w:val="0"/>
          <w:numId w:val="1"/>
        </w:numPr>
        <w:contextualSpacing/>
        <w:rPr>
          <w:rFonts w:ascii="Calibri" w:hAnsi="Calibri"/>
        </w:rPr>
      </w:pPr>
      <w:r w:rsidRPr="00D46183">
        <w:rPr>
          <w:rFonts w:ascii="Calibri" w:hAnsi="Calibri"/>
        </w:rPr>
        <w:t>The disclosure of the tariff portion of the retail price required under subsection (a) shall be: (1) visible on the point</w:t>
      </w:r>
      <w:r>
        <w:rPr>
          <w:rFonts w:ascii="Calibri" w:hAnsi="Calibri"/>
        </w:rPr>
        <w:t>-</w:t>
      </w:r>
      <w:r w:rsidRPr="00D46183">
        <w:rPr>
          <w:rFonts w:ascii="Calibri" w:hAnsi="Calibri"/>
        </w:rPr>
        <w:t>of</w:t>
      </w:r>
      <w:r>
        <w:rPr>
          <w:rFonts w:ascii="Calibri" w:hAnsi="Calibri"/>
        </w:rPr>
        <w:t>-</w:t>
      </w:r>
      <w:r w:rsidRPr="00D46183">
        <w:rPr>
          <w:rFonts w:ascii="Calibri" w:hAnsi="Calibri"/>
        </w:rPr>
        <w:t>sale display tag; (2) visible on the online product page; (3) itemized on the printed receipt provided at the conclusion of the point-of-sale transaction; or (4) disclosed in a manner deemed appropriate by the Attorney General.</w:t>
      </w:r>
    </w:p>
    <w:p w14:paraId="04A6F02B" w14:textId="77777777" w:rsidR="00084BAE" w:rsidRPr="00084BAE" w:rsidRDefault="00084BAE" w:rsidP="00084BAE">
      <w:pPr>
        <w:numPr>
          <w:ilvl w:val="0"/>
          <w:numId w:val="1"/>
        </w:numPr>
        <w:contextualSpacing/>
        <w:rPr>
          <w:rFonts w:ascii="Calibri" w:hAnsi="Calibri"/>
        </w:rPr>
      </w:pPr>
      <w:r w:rsidRPr="00084BAE">
        <w:rPr>
          <w:rFonts w:ascii="Calibri" w:hAnsi="Calibri"/>
        </w:rPr>
        <w:t>Provides enforcement authority and civil penalties for noncompliance.</w:t>
      </w:r>
    </w:p>
    <w:p w14:paraId="135851A7" w14:textId="43662AEF" w:rsidR="00084BAE" w:rsidRPr="00084BAE" w:rsidRDefault="00084BAE" w:rsidP="00084BAE">
      <w:pPr>
        <w:numPr>
          <w:ilvl w:val="0"/>
          <w:numId w:val="1"/>
        </w:numPr>
        <w:contextualSpacing/>
        <w:rPr>
          <w:rFonts w:ascii="Calibri" w:hAnsi="Calibri"/>
        </w:rPr>
      </w:pPr>
      <w:r w:rsidRPr="00084BAE">
        <w:rPr>
          <w:rFonts w:ascii="Calibri" w:hAnsi="Calibri"/>
        </w:rPr>
        <w:t>Applies to service providers subject to tariff requirements and may include telecommunications carriers.</w:t>
      </w:r>
    </w:p>
    <w:p w14:paraId="64F6BCEA" w14:textId="77777777" w:rsidR="00DE0FF5" w:rsidRDefault="00DE0FF5" w:rsidP="00FA4616">
      <w:pPr>
        <w:spacing w:after="0"/>
        <w:rPr>
          <w:rFonts w:asciiTheme="majorHAnsi" w:hAnsiTheme="majorHAnsi" w:cstheme="majorHAnsi"/>
        </w:rPr>
      </w:pPr>
    </w:p>
    <w:p w14:paraId="1D61CA81" w14:textId="4486EA8F" w:rsidR="00235F44" w:rsidRPr="006A1D4D" w:rsidRDefault="00235F44" w:rsidP="004A3842">
      <w:pPr>
        <w:spacing w:after="0"/>
        <w:rPr>
          <w:rFonts w:asciiTheme="majorHAnsi" w:hAnsiTheme="majorHAnsi" w:cstheme="majorHAnsi"/>
          <w:b/>
          <w:bCs/>
          <w:u w:val="single"/>
        </w:rPr>
      </w:pPr>
      <w:r w:rsidRPr="006A1D4D">
        <w:rPr>
          <w:rFonts w:asciiTheme="majorHAnsi" w:hAnsiTheme="majorHAnsi" w:cstheme="majorHAnsi"/>
          <w:b/>
          <w:bCs/>
          <w:u w:val="single"/>
        </w:rPr>
        <w:t xml:space="preserve">Artificial </w:t>
      </w:r>
      <w:r w:rsidR="0094235D" w:rsidRPr="006A1D4D">
        <w:rPr>
          <w:rFonts w:asciiTheme="majorHAnsi" w:hAnsiTheme="majorHAnsi" w:cstheme="majorHAnsi"/>
          <w:b/>
          <w:bCs/>
          <w:u w:val="single"/>
        </w:rPr>
        <w:t>Intelligence</w:t>
      </w:r>
      <w:r w:rsidRPr="006A1D4D">
        <w:rPr>
          <w:rFonts w:asciiTheme="majorHAnsi" w:hAnsiTheme="majorHAnsi" w:cstheme="majorHAnsi"/>
          <w:b/>
          <w:bCs/>
          <w:u w:val="single"/>
        </w:rPr>
        <w:t>/Data</w:t>
      </w:r>
      <w:r w:rsidR="0094235D" w:rsidRPr="006A1D4D">
        <w:rPr>
          <w:rFonts w:asciiTheme="majorHAnsi" w:hAnsiTheme="majorHAnsi" w:cstheme="majorHAnsi"/>
          <w:b/>
          <w:bCs/>
          <w:u w:val="single"/>
        </w:rPr>
        <w:t xml:space="preserve"> Privacy and Verification:</w:t>
      </w:r>
    </w:p>
    <w:p w14:paraId="0E866B48" w14:textId="77777777" w:rsidR="00DA1970" w:rsidRPr="00DA1970" w:rsidRDefault="00DA1970" w:rsidP="00DA1970">
      <w:pPr>
        <w:spacing w:after="0"/>
        <w:rPr>
          <w:rFonts w:ascii="Calibri" w:hAnsi="Calibri"/>
          <w:b/>
          <w:bCs/>
        </w:rPr>
      </w:pPr>
      <w:hyperlink r:id="rId30">
        <w:r w:rsidRPr="00DA1970">
          <w:rPr>
            <w:rFonts w:ascii="Calibri" w:hAnsi="Calibri"/>
            <w:b/>
            <w:bCs/>
            <w:color w:val="0000FF"/>
            <w:u w:val="single"/>
          </w:rPr>
          <w:t>HB 4140 – Digital Age Assurance Act (Rep. Weaver)</w:t>
        </w:r>
      </w:hyperlink>
    </w:p>
    <w:p w14:paraId="55CE53A4" w14:textId="02F55DC2" w:rsidR="00DA1970" w:rsidRPr="00DA1970" w:rsidRDefault="00DA1970" w:rsidP="00DA1970">
      <w:pPr>
        <w:rPr>
          <w:rFonts w:ascii="Calibri" w:hAnsi="Calibri"/>
        </w:rPr>
      </w:pPr>
      <w:r w:rsidRPr="00DA1970">
        <w:rPr>
          <w:rFonts w:ascii="Calibri" w:hAnsi="Calibri"/>
        </w:rPr>
        <w:t>Summary:</w:t>
      </w:r>
      <w:r>
        <w:rPr>
          <w:rFonts w:ascii="Calibri" w:hAnsi="Calibri"/>
        </w:rPr>
        <w:t xml:space="preserve"> </w:t>
      </w:r>
      <w:r w:rsidRPr="00DA1970">
        <w:rPr>
          <w:rFonts w:ascii="Calibri" w:hAnsi="Calibri"/>
        </w:rPr>
        <w:t>Creates the Digital Age Assurance Act. Requires operating system providers to collect age information at account creation and provide developers with a real-time age bracket signal for users. Developers receiving the signal are deemed to have actual knowledge of the user’s age bracket for compliance with age-related laws. Establishes data minimization requirements, nondiscrimination obligations, enforcement authority, and civil penalties. Effective January 1, 2027.</w:t>
      </w:r>
    </w:p>
    <w:p w14:paraId="676B940A" w14:textId="77777777" w:rsidR="00DA1970" w:rsidRPr="00DA1970" w:rsidRDefault="00DA1970" w:rsidP="00DA1970">
      <w:pPr>
        <w:spacing w:after="0"/>
        <w:rPr>
          <w:rFonts w:ascii="Calibri" w:hAnsi="Calibri"/>
        </w:rPr>
      </w:pPr>
      <w:r w:rsidRPr="00DA1970">
        <w:rPr>
          <w:rFonts w:ascii="Calibri" w:hAnsi="Calibri"/>
        </w:rPr>
        <w:t>Key Statutory Provisions:</w:t>
      </w:r>
    </w:p>
    <w:p w14:paraId="2154026F" w14:textId="77777777" w:rsidR="00DA1970" w:rsidRPr="00DA1970" w:rsidRDefault="00DA1970" w:rsidP="00DA1970">
      <w:pPr>
        <w:numPr>
          <w:ilvl w:val="0"/>
          <w:numId w:val="1"/>
        </w:numPr>
        <w:contextualSpacing/>
        <w:rPr>
          <w:rFonts w:ascii="Calibri" w:hAnsi="Calibri"/>
        </w:rPr>
      </w:pPr>
      <w:r w:rsidRPr="00DA1970">
        <w:rPr>
          <w:rFonts w:ascii="Calibri" w:hAnsi="Calibri"/>
        </w:rPr>
        <w:t>Requires operating system providers to obtain a user’s date of birth or age at account setup and generate an age bracket signal.</w:t>
      </w:r>
    </w:p>
    <w:p w14:paraId="2EEE28AD" w14:textId="77777777" w:rsidR="00DA1970" w:rsidRPr="00DA1970" w:rsidRDefault="00DA1970" w:rsidP="00DA1970">
      <w:pPr>
        <w:numPr>
          <w:ilvl w:val="0"/>
          <w:numId w:val="1"/>
        </w:numPr>
        <w:contextualSpacing/>
        <w:rPr>
          <w:rFonts w:ascii="Calibri" w:hAnsi="Calibri"/>
        </w:rPr>
      </w:pPr>
      <w:r w:rsidRPr="00DA1970">
        <w:rPr>
          <w:rFonts w:ascii="Calibri" w:hAnsi="Calibri"/>
        </w:rPr>
        <w:t>Requires a real-time API to communicate age bracket data to developers.</w:t>
      </w:r>
    </w:p>
    <w:p w14:paraId="019B5236" w14:textId="77777777" w:rsidR="00DA1970" w:rsidRPr="00DA1970" w:rsidRDefault="00DA1970" w:rsidP="00DA1970">
      <w:pPr>
        <w:numPr>
          <w:ilvl w:val="0"/>
          <w:numId w:val="1"/>
        </w:numPr>
        <w:contextualSpacing/>
        <w:rPr>
          <w:rFonts w:ascii="Calibri" w:hAnsi="Calibri"/>
        </w:rPr>
      </w:pPr>
      <w:r w:rsidRPr="00DA1970">
        <w:rPr>
          <w:rFonts w:ascii="Calibri" w:hAnsi="Calibri"/>
        </w:rPr>
        <w:t>Deems developers receiving age bracket data to have actual knowledge of a user’s age for legal compliance purposes.</w:t>
      </w:r>
    </w:p>
    <w:p w14:paraId="3EADA188" w14:textId="77777777" w:rsidR="00DA1970" w:rsidRPr="00DA1970" w:rsidRDefault="00DA1970" w:rsidP="00DA1970">
      <w:pPr>
        <w:numPr>
          <w:ilvl w:val="0"/>
          <w:numId w:val="1"/>
        </w:numPr>
        <w:contextualSpacing/>
        <w:rPr>
          <w:rFonts w:ascii="Calibri" w:hAnsi="Calibri"/>
        </w:rPr>
      </w:pPr>
      <w:r w:rsidRPr="00DA1970">
        <w:rPr>
          <w:rFonts w:ascii="Calibri" w:hAnsi="Calibri"/>
        </w:rPr>
        <w:t>Limits use, retention, and sharing of age bracket data to compliance-related purposes.</w:t>
      </w:r>
    </w:p>
    <w:p w14:paraId="261AB5ED" w14:textId="77777777" w:rsidR="00DA1970" w:rsidRPr="00DA1970" w:rsidRDefault="00DA1970" w:rsidP="00DA1970">
      <w:pPr>
        <w:numPr>
          <w:ilvl w:val="0"/>
          <w:numId w:val="1"/>
        </w:numPr>
        <w:contextualSpacing/>
        <w:rPr>
          <w:rFonts w:ascii="Calibri" w:hAnsi="Calibri"/>
        </w:rPr>
      </w:pPr>
      <w:r w:rsidRPr="00DA1970">
        <w:rPr>
          <w:rFonts w:ascii="Calibri" w:hAnsi="Calibri"/>
        </w:rPr>
        <w:t>Provides enforcement authority to the Attorney General and authorizes civil penalties.</w:t>
      </w:r>
    </w:p>
    <w:p w14:paraId="74414738" w14:textId="69E43A38" w:rsidR="00DA1970" w:rsidRPr="00AA7F1E" w:rsidRDefault="00DA1970" w:rsidP="00DA1970">
      <w:pPr>
        <w:numPr>
          <w:ilvl w:val="0"/>
          <w:numId w:val="1"/>
        </w:numPr>
        <w:spacing w:after="0"/>
        <w:contextualSpacing/>
        <w:rPr>
          <w:rFonts w:ascii="Calibri" w:hAnsi="Calibri"/>
          <w:b/>
          <w:bCs/>
        </w:rPr>
      </w:pPr>
      <w:r w:rsidRPr="00AA7F1E">
        <w:rPr>
          <w:rFonts w:ascii="Calibri" w:hAnsi="Calibri"/>
          <w:b/>
          <w:bCs/>
        </w:rPr>
        <w:t>Excludes broadband Internet access service and telecommunications service from the scope of the Act.</w:t>
      </w:r>
    </w:p>
    <w:p w14:paraId="6F5B55B3" w14:textId="77777777" w:rsidR="00634C0A" w:rsidRPr="0029460F" w:rsidRDefault="00634C0A" w:rsidP="00634C0A">
      <w:pPr>
        <w:spacing w:after="0"/>
        <w:contextualSpacing/>
        <w:rPr>
          <w:rFonts w:ascii="Calibri" w:hAnsi="Calibri"/>
        </w:rPr>
      </w:pPr>
    </w:p>
    <w:p w14:paraId="536E24BA" w14:textId="77777777" w:rsidR="00B76BE2" w:rsidRDefault="00B76BE2" w:rsidP="00DA1970">
      <w:pPr>
        <w:spacing w:after="0"/>
      </w:pPr>
    </w:p>
    <w:p w14:paraId="5407B2F1" w14:textId="345246AD" w:rsidR="00DA1970" w:rsidRPr="00DA1970" w:rsidRDefault="00DA1970" w:rsidP="00DA1970">
      <w:pPr>
        <w:spacing w:after="0"/>
        <w:rPr>
          <w:rFonts w:ascii="Calibri" w:hAnsi="Calibri"/>
          <w:b/>
          <w:bCs/>
          <w:color w:val="EE0000"/>
        </w:rPr>
      </w:pPr>
      <w:hyperlink r:id="rId31">
        <w:r w:rsidRPr="00DA1970">
          <w:rPr>
            <w:rFonts w:ascii="Calibri" w:hAnsi="Calibri"/>
            <w:b/>
            <w:bCs/>
            <w:color w:val="EE0000"/>
            <w:u w:val="single"/>
          </w:rPr>
          <w:t>HB 4538 – Consumer Identity Verification Act (Rep. Mayfield)</w:t>
        </w:r>
      </w:hyperlink>
    </w:p>
    <w:p w14:paraId="46689FD1" w14:textId="4DF95EFE" w:rsidR="00DA1970" w:rsidRPr="00DA1970" w:rsidRDefault="00DA1970" w:rsidP="00DA1970">
      <w:pPr>
        <w:rPr>
          <w:rFonts w:ascii="Calibri" w:hAnsi="Calibri"/>
        </w:rPr>
      </w:pPr>
      <w:r w:rsidRPr="00DA1970">
        <w:rPr>
          <w:rFonts w:ascii="Calibri" w:hAnsi="Calibri"/>
        </w:rPr>
        <w:t>Summary:</w:t>
      </w:r>
      <w:r>
        <w:rPr>
          <w:rFonts w:ascii="Calibri" w:hAnsi="Calibri"/>
        </w:rPr>
        <w:t xml:space="preserve"> </w:t>
      </w:r>
      <w:r w:rsidRPr="00DA1970">
        <w:rPr>
          <w:rFonts w:ascii="Calibri" w:hAnsi="Calibri"/>
        </w:rPr>
        <w:t>Creates the Consumer Identity Verification Act. Requires covered service providers to verify the identity of an individual before initiating or modifying a service agreement and to report confirmed or attempted identity theft to the Attorney General. Violations constitute unlawful practices under the Consumer Fraud and Deceptive Business Practices Act. Effective January 1, 2027.</w:t>
      </w:r>
    </w:p>
    <w:p w14:paraId="36C7EDB7" w14:textId="77777777" w:rsidR="00DA1970" w:rsidRPr="00DA1970" w:rsidRDefault="00DA1970" w:rsidP="00DA1970">
      <w:pPr>
        <w:spacing w:after="0"/>
        <w:rPr>
          <w:rFonts w:ascii="Calibri" w:hAnsi="Calibri"/>
        </w:rPr>
      </w:pPr>
      <w:r w:rsidRPr="00DA1970">
        <w:rPr>
          <w:rFonts w:ascii="Calibri" w:hAnsi="Calibri"/>
        </w:rPr>
        <w:t>Key Statutory Provisions:</w:t>
      </w:r>
    </w:p>
    <w:p w14:paraId="2EF768B0" w14:textId="77777777" w:rsidR="00DA1970" w:rsidRPr="00DA1970" w:rsidRDefault="00DA1970" w:rsidP="00DA1970">
      <w:pPr>
        <w:numPr>
          <w:ilvl w:val="0"/>
          <w:numId w:val="1"/>
        </w:numPr>
        <w:contextualSpacing/>
        <w:rPr>
          <w:rFonts w:ascii="Calibri" w:hAnsi="Calibri"/>
        </w:rPr>
      </w:pPr>
      <w:r w:rsidRPr="00DA1970">
        <w:rPr>
          <w:rFonts w:ascii="Calibri" w:hAnsi="Calibri"/>
        </w:rPr>
        <w:t>Defines covered services to include utilities, telecommunications services, mobile accounts, credit accounts, online financial accounts, government benefit systems, and health insurance coverage.</w:t>
      </w:r>
    </w:p>
    <w:p w14:paraId="6477EE4B" w14:textId="77777777" w:rsidR="00DA1970" w:rsidRPr="00DA1970" w:rsidRDefault="00DA1970" w:rsidP="00DA1970">
      <w:pPr>
        <w:numPr>
          <w:ilvl w:val="0"/>
          <w:numId w:val="1"/>
        </w:numPr>
        <w:contextualSpacing/>
        <w:rPr>
          <w:rFonts w:ascii="Calibri" w:hAnsi="Calibri"/>
        </w:rPr>
      </w:pPr>
      <w:r w:rsidRPr="00DA1970">
        <w:rPr>
          <w:rFonts w:ascii="Calibri" w:hAnsi="Calibri"/>
        </w:rPr>
        <w:t>Requires identity verification using government-issued identification and at least one additional authentication method.</w:t>
      </w:r>
    </w:p>
    <w:p w14:paraId="67FDA296" w14:textId="77777777" w:rsidR="00DA1970" w:rsidRPr="00DA1970" w:rsidRDefault="00DA1970" w:rsidP="00DA1970">
      <w:pPr>
        <w:numPr>
          <w:ilvl w:val="0"/>
          <w:numId w:val="1"/>
        </w:numPr>
        <w:contextualSpacing/>
        <w:rPr>
          <w:rFonts w:ascii="Calibri" w:hAnsi="Calibri"/>
        </w:rPr>
      </w:pPr>
      <w:r w:rsidRPr="00DA1970">
        <w:rPr>
          <w:rFonts w:ascii="Calibri" w:hAnsi="Calibri"/>
        </w:rPr>
        <w:t>Requires verification prior to initiating or modifying a service agreement.</w:t>
      </w:r>
    </w:p>
    <w:p w14:paraId="0853518D" w14:textId="520C2685" w:rsidR="00DA1970" w:rsidRPr="00DA1970" w:rsidRDefault="00DA1970" w:rsidP="00DA1970">
      <w:pPr>
        <w:numPr>
          <w:ilvl w:val="0"/>
          <w:numId w:val="1"/>
        </w:numPr>
        <w:contextualSpacing/>
        <w:rPr>
          <w:rFonts w:ascii="Calibri" w:hAnsi="Calibri"/>
        </w:rPr>
      </w:pPr>
      <w:r w:rsidRPr="00DA1970">
        <w:rPr>
          <w:rFonts w:ascii="Calibri" w:hAnsi="Calibri"/>
        </w:rPr>
        <w:t xml:space="preserve">Requires reporting of confirmed or attempted identity theft within </w:t>
      </w:r>
      <w:r w:rsidR="00311FF4">
        <w:rPr>
          <w:rFonts w:ascii="Calibri" w:hAnsi="Calibri"/>
        </w:rPr>
        <w:t xml:space="preserve">10 </w:t>
      </w:r>
      <w:r w:rsidR="004C5FEC">
        <w:rPr>
          <w:rFonts w:ascii="Calibri" w:hAnsi="Calibri"/>
        </w:rPr>
        <w:t>business days after becoming aware of the attempted or confirmed identity theft</w:t>
      </w:r>
      <w:r w:rsidRPr="00DA1970">
        <w:rPr>
          <w:rFonts w:ascii="Calibri" w:hAnsi="Calibri"/>
        </w:rPr>
        <w:t>.</w:t>
      </w:r>
    </w:p>
    <w:p w14:paraId="7F6C47C4" w14:textId="77777777" w:rsidR="00DA1970" w:rsidRPr="00DA1970" w:rsidRDefault="00DA1970" w:rsidP="00DA1970">
      <w:pPr>
        <w:numPr>
          <w:ilvl w:val="0"/>
          <w:numId w:val="1"/>
        </w:numPr>
        <w:contextualSpacing/>
        <w:rPr>
          <w:rFonts w:ascii="Calibri" w:hAnsi="Calibri"/>
        </w:rPr>
      </w:pPr>
      <w:r w:rsidRPr="00DA1970">
        <w:rPr>
          <w:rFonts w:ascii="Calibri" w:hAnsi="Calibri"/>
        </w:rPr>
        <w:t>Requires secure retention of identity verification records.</w:t>
      </w:r>
    </w:p>
    <w:p w14:paraId="780A1738" w14:textId="77777777" w:rsidR="00DA1970" w:rsidRPr="00DA1970" w:rsidRDefault="00DA1970" w:rsidP="00DA1970">
      <w:pPr>
        <w:numPr>
          <w:ilvl w:val="0"/>
          <w:numId w:val="1"/>
        </w:numPr>
        <w:contextualSpacing/>
        <w:rPr>
          <w:rFonts w:ascii="Calibri" w:hAnsi="Calibri"/>
        </w:rPr>
      </w:pPr>
      <w:r w:rsidRPr="00DA1970">
        <w:rPr>
          <w:rFonts w:ascii="Calibri" w:hAnsi="Calibri"/>
        </w:rPr>
        <w:t>Provides that violations constitute unlawful practices under the Consumer Fraud and Deceptive Business Practices Act.</w:t>
      </w:r>
    </w:p>
    <w:p w14:paraId="3629CAA3" w14:textId="77777777" w:rsidR="00DA1970" w:rsidRDefault="00DA1970" w:rsidP="00DA1970">
      <w:pPr>
        <w:numPr>
          <w:ilvl w:val="0"/>
          <w:numId w:val="1"/>
        </w:numPr>
        <w:contextualSpacing/>
        <w:rPr>
          <w:rFonts w:ascii="Calibri" w:hAnsi="Calibri"/>
        </w:rPr>
      </w:pPr>
      <w:r w:rsidRPr="00DA1970">
        <w:rPr>
          <w:rFonts w:ascii="Calibri" w:hAnsi="Calibri"/>
        </w:rPr>
        <w:t>Applies to telecommunications service providers as covered service providers but is not specific solely to telecommunications or broadband companies.</w:t>
      </w:r>
    </w:p>
    <w:p w14:paraId="0F157BBC" w14:textId="77777777" w:rsidR="00DA1970" w:rsidRPr="00DA1970" w:rsidRDefault="00DA1970" w:rsidP="00DA1970">
      <w:pPr>
        <w:contextualSpacing/>
        <w:rPr>
          <w:rFonts w:ascii="Calibri" w:hAnsi="Calibri"/>
        </w:rPr>
      </w:pPr>
    </w:p>
    <w:p w14:paraId="7C4F9C76" w14:textId="77777777" w:rsidR="00DA1970" w:rsidRPr="00DA1970" w:rsidRDefault="00DA1970" w:rsidP="00DA1970">
      <w:pPr>
        <w:spacing w:after="0"/>
        <w:rPr>
          <w:rFonts w:ascii="Calibri" w:hAnsi="Calibri"/>
          <w:b/>
          <w:bCs/>
        </w:rPr>
      </w:pPr>
      <w:hyperlink r:id="rId32">
        <w:r w:rsidRPr="00DA1970">
          <w:rPr>
            <w:rFonts w:ascii="Calibri" w:hAnsi="Calibri"/>
            <w:b/>
            <w:bCs/>
            <w:color w:val="0000FF"/>
            <w:u w:val="single"/>
          </w:rPr>
          <w:t>HB 4799 – AI Safety Measures Act (Rep. Du Buclet)</w:t>
        </w:r>
      </w:hyperlink>
    </w:p>
    <w:p w14:paraId="4D458D2D" w14:textId="18C79635" w:rsidR="00BC416C" w:rsidRDefault="00DA1970" w:rsidP="00BC416C">
      <w:pPr>
        <w:rPr>
          <w:rFonts w:ascii="Calibri" w:hAnsi="Calibri"/>
        </w:rPr>
      </w:pPr>
      <w:r w:rsidRPr="00DA1970">
        <w:rPr>
          <w:rFonts w:ascii="Calibri" w:hAnsi="Calibri"/>
        </w:rPr>
        <w:t>Summary:</w:t>
      </w:r>
      <w:r>
        <w:rPr>
          <w:rFonts w:ascii="Calibri" w:hAnsi="Calibri"/>
        </w:rPr>
        <w:t xml:space="preserve"> </w:t>
      </w:r>
      <w:r w:rsidRPr="00DA1970">
        <w:rPr>
          <w:rFonts w:ascii="Calibri" w:hAnsi="Calibri"/>
        </w:rPr>
        <w:t xml:space="preserve">Creates </w:t>
      </w:r>
      <w:r w:rsidR="000B41ED" w:rsidRPr="000B41ED">
        <w:rPr>
          <w:rFonts w:ascii="Calibri" w:hAnsi="Calibri"/>
        </w:rPr>
        <w:t>Transparency in Frontier Artificial Intelligence Act</w:t>
      </w:r>
      <w:r w:rsidR="007544A5">
        <w:rPr>
          <w:rFonts w:ascii="Calibri" w:hAnsi="Calibri"/>
        </w:rPr>
        <w:t xml:space="preserve"> </w:t>
      </w:r>
      <w:r w:rsidR="00BC416C">
        <w:rPr>
          <w:rFonts w:ascii="Calibri" w:hAnsi="Calibri"/>
        </w:rPr>
        <w:t>establishing AI</w:t>
      </w:r>
      <w:r w:rsidR="00BC416C" w:rsidRPr="00DA1970">
        <w:rPr>
          <w:rFonts w:ascii="Calibri" w:hAnsi="Calibri"/>
        </w:rPr>
        <w:t xml:space="preserve"> safety measures, including governance, evaluation, and risk-mitigation requirements for certain </w:t>
      </w:r>
      <w:r w:rsidR="00BC416C">
        <w:rPr>
          <w:rFonts w:ascii="Calibri" w:hAnsi="Calibri"/>
        </w:rPr>
        <w:t xml:space="preserve">large frontier artificial intelligence developers </w:t>
      </w:r>
      <w:r w:rsidR="00BC416C" w:rsidRPr="00DA1970">
        <w:rPr>
          <w:rFonts w:ascii="Calibri" w:hAnsi="Calibri"/>
        </w:rPr>
        <w:t>and establishes institutional resources to promote safe and ethical AI deployment.</w:t>
      </w:r>
    </w:p>
    <w:p w14:paraId="0045D649" w14:textId="77777777" w:rsidR="00BC416C" w:rsidRDefault="00BC416C" w:rsidP="00BC416C">
      <w:pPr>
        <w:spacing w:after="0"/>
        <w:rPr>
          <w:rFonts w:ascii="Calibri" w:hAnsi="Calibri"/>
        </w:rPr>
      </w:pPr>
      <w:r>
        <w:rPr>
          <w:rFonts w:ascii="Calibri" w:hAnsi="Calibri"/>
        </w:rPr>
        <w:t>K</w:t>
      </w:r>
      <w:r w:rsidRPr="00DA1970">
        <w:rPr>
          <w:rFonts w:ascii="Calibri" w:hAnsi="Calibri"/>
        </w:rPr>
        <w:t>ey Statutory Provisions:</w:t>
      </w:r>
    </w:p>
    <w:p w14:paraId="123A6751" w14:textId="77777777" w:rsidR="00BC416C" w:rsidRDefault="00BC416C" w:rsidP="00BC416C">
      <w:pPr>
        <w:pStyle w:val="ListParagraph"/>
        <w:numPr>
          <w:ilvl w:val="0"/>
          <w:numId w:val="24"/>
        </w:numPr>
        <w:rPr>
          <w:rFonts w:ascii="Calibri" w:hAnsi="Calibri"/>
        </w:rPr>
      </w:pPr>
      <w:r w:rsidRPr="00F167E4">
        <w:rPr>
          <w:rFonts w:ascii="Calibri" w:hAnsi="Calibri"/>
        </w:rPr>
        <w:t xml:space="preserve">Requires large frontier artificial intelligence developers to adopt and publish a frontier artificial intelligence framework addressing catastrophic risk management, transparency, and cybersecurity. </w:t>
      </w:r>
    </w:p>
    <w:p w14:paraId="659A5C20" w14:textId="77777777" w:rsidR="00BC416C" w:rsidRDefault="00BC416C" w:rsidP="00BC416C">
      <w:pPr>
        <w:pStyle w:val="ListParagraph"/>
        <w:numPr>
          <w:ilvl w:val="0"/>
          <w:numId w:val="24"/>
        </w:numPr>
        <w:rPr>
          <w:rFonts w:ascii="Calibri" w:hAnsi="Calibri"/>
        </w:rPr>
      </w:pPr>
      <w:r w:rsidRPr="00F167E4">
        <w:rPr>
          <w:rFonts w:ascii="Calibri" w:hAnsi="Calibri"/>
        </w:rPr>
        <w:t xml:space="preserve">Mandates reporting of critical safety incidents to the Attorney General and establishes civil penalties for noncompliance. </w:t>
      </w:r>
    </w:p>
    <w:p w14:paraId="6DCD2DB1" w14:textId="09F55E63" w:rsidR="00BC416C" w:rsidRDefault="00BC416C" w:rsidP="00BC416C">
      <w:pPr>
        <w:pStyle w:val="ListParagraph"/>
        <w:numPr>
          <w:ilvl w:val="0"/>
          <w:numId w:val="24"/>
        </w:numPr>
        <w:rPr>
          <w:rFonts w:ascii="Calibri" w:hAnsi="Calibri"/>
        </w:rPr>
      </w:pPr>
      <w:r w:rsidRPr="00F167E4">
        <w:rPr>
          <w:rFonts w:ascii="Calibri" w:hAnsi="Calibri"/>
        </w:rPr>
        <w:t xml:space="preserve">Establishes a consortium within DoIT to develop and operate </w:t>
      </w:r>
      <w:proofErr w:type="spellStart"/>
      <w:r w:rsidRPr="00F167E4">
        <w:rPr>
          <w:rFonts w:ascii="Calibri" w:hAnsi="Calibri"/>
        </w:rPr>
        <w:t>ILCompute</w:t>
      </w:r>
      <w:proofErr w:type="spellEnd"/>
      <w:r w:rsidRPr="00F167E4">
        <w:rPr>
          <w:rFonts w:ascii="Calibri" w:hAnsi="Calibri"/>
        </w:rPr>
        <w:t>, a public artificial intelligence cloud computing resource to support safe, ethical, equitable, and sustainable AI research and deployment in Illinois and includes specified Freedom of Information Act exemptions.</w:t>
      </w:r>
    </w:p>
    <w:p w14:paraId="735ECB32" w14:textId="3BDA1ED5" w:rsidR="00BC416C" w:rsidRPr="00F167E4" w:rsidRDefault="007544A5" w:rsidP="00BC416C">
      <w:pPr>
        <w:pStyle w:val="ListParagraph"/>
        <w:numPr>
          <w:ilvl w:val="0"/>
          <w:numId w:val="24"/>
        </w:numPr>
        <w:rPr>
          <w:rFonts w:ascii="Calibri" w:hAnsi="Calibri"/>
        </w:rPr>
      </w:pPr>
      <w:r>
        <w:rPr>
          <w:rFonts w:ascii="Calibri" w:hAnsi="Calibri"/>
        </w:rPr>
        <w:t>T</w:t>
      </w:r>
      <w:r w:rsidR="00BC416C" w:rsidRPr="00F167E4">
        <w:rPr>
          <w:rFonts w:ascii="Calibri" w:hAnsi="Calibri"/>
        </w:rPr>
        <w:t>he legislation is not specific to telecommunications or broadband companies and applies generally to artificial intelligence infrastructure entities.</w:t>
      </w:r>
    </w:p>
    <w:p w14:paraId="32FBC05A" w14:textId="77777777" w:rsidR="00B76BE2" w:rsidRDefault="00B76BE2" w:rsidP="00CC1A25">
      <w:pPr>
        <w:spacing w:after="0"/>
      </w:pPr>
    </w:p>
    <w:p w14:paraId="55A5C461" w14:textId="4383D128" w:rsidR="00DA1970" w:rsidRPr="00DA1970" w:rsidRDefault="00DA1970" w:rsidP="00CC1A25">
      <w:pPr>
        <w:spacing w:after="0"/>
        <w:rPr>
          <w:rFonts w:ascii="Calibri" w:hAnsi="Calibri"/>
          <w:b/>
          <w:bCs/>
        </w:rPr>
      </w:pPr>
      <w:hyperlink r:id="rId33">
        <w:r w:rsidRPr="00DA1970">
          <w:rPr>
            <w:rFonts w:ascii="Calibri" w:hAnsi="Calibri"/>
            <w:b/>
            <w:bCs/>
            <w:color w:val="0000FF"/>
            <w:u w:val="single"/>
          </w:rPr>
          <w:t>HB 5044 – Chatbot Provider Liability Act (Rep. Gong-Gershowitz)</w:t>
        </w:r>
      </w:hyperlink>
    </w:p>
    <w:p w14:paraId="536B9E58" w14:textId="14C6C715" w:rsidR="00DA1970" w:rsidRPr="00DA1970" w:rsidRDefault="00DA1970" w:rsidP="00DA1970">
      <w:pPr>
        <w:rPr>
          <w:rFonts w:ascii="Calibri" w:hAnsi="Calibri"/>
        </w:rPr>
      </w:pPr>
      <w:r w:rsidRPr="00DA1970">
        <w:rPr>
          <w:rFonts w:ascii="Calibri" w:hAnsi="Calibri"/>
        </w:rPr>
        <w:t>Summary:</w:t>
      </w:r>
      <w:r>
        <w:rPr>
          <w:rFonts w:ascii="Calibri" w:hAnsi="Calibri"/>
        </w:rPr>
        <w:t xml:space="preserve"> </w:t>
      </w:r>
      <w:r w:rsidRPr="00DA1970">
        <w:rPr>
          <w:rFonts w:ascii="Calibri" w:hAnsi="Calibri"/>
        </w:rPr>
        <w:t>Creates the Chatbot Provider Liability Act. Classifies chatbots as products for purposes of strict liability</w:t>
      </w:r>
      <w:r w:rsidR="007D1707">
        <w:rPr>
          <w:rFonts w:ascii="Calibri" w:hAnsi="Calibri"/>
        </w:rPr>
        <w:t xml:space="preserve"> and other product liability actions</w:t>
      </w:r>
      <w:r w:rsidRPr="00DA1970">
        <w:rPr>
          <w:rFonts w:ascii="Calibri" w:hAnsi="Calibri"/>
        </w:rPr>
        <w:t xml:space="preserve"> and establishes a civil cause of action against chatbot providers for harm caused by chatbot use, regardless of reasonable care. Provides </w:t>
      </w:r>
      <w:r w:rsidR="00D922F9">
        <w:rPr>
          <w:rFonts w:ascii="Calibri" w:hAnsi="Calibri"/>
        </w:rPr>
        <w:t xml:space="preserve">a private right of action </w:t>
      </w:r>
      <w:r w:rsidRPr="00DA1970">
        <w:rPr>
          <w:rFonts w:ascii="Calibri" w:hAnsi="Calibri"/>
        </w:rPr>
        <w:t>for damages, injunctive relief, and attorney’s fees.</w:t>
      </w:r>
    </w:p>
    <w:p w14:paraId="62A67F64" w14:textId="77777777" w:rsidR="00DA1970" w:rsidRPr="00DA1970" w:rsidRDefault="00DA1970" w:rsidP="00DA1970">
      <w:pPr>
        <w:spacing w:after="0"/>
        <w:rPr>
          <w:rFonts w:ascii="Calibri" w:hAnsi="Calibri"/>
        </w:rPr>
      </w:pPr>
      <w:r w:rsidRPr="00DA1970">
        <w:rPr>
          <w:rFonts w:ascii="Calibri" w:hAnsi="Calibri"/>
        </w:rPr>
        <w:t>Key Statutory Provisions:</w:t>
      </w:r>
    </w:p>
    <w:p w14:paraId="28720EF9" w14:textId="02FBCC86" w:rsidR="00DA1970" w:rsidRPr="00DA1970" w:rsidRDefault="00DA1970" w:rsidP="00DA1970">
      <w:pPr>
        <w:numPr>
          <w:ilvl w:val="0"/>
          <w:numId w:val="1"/>
        </w:numPr>
        <w:contextualSpacing/>
        <w:rPr>
          <w:rFonts w:ascii="Calibri" w:hAnsi="Calibri"/>
        </w:rPr>
      </w:pPr>
      <w:r w:rsidRPr="00DA1970">
        <w:rPr>
          <w:rFonts w:ascii="Calibri" w:hAnsi="Calibri"/>
        </w:rPr>
        <w:t>Defines chatbot and chatbot provider to include entities that develop, distribute, or make available conversational AI systems</w:t>
      </w:r>
      <w:r w:rsidR="00EC7E89">
        <w:rPr>
          <w:rFonts w:ascii="Calibri" w:hAnsi="Calibri"/>
        </w:rPr>
        <w:t xml:space="preserve"> via text</w:t>
      </w:r>
      <w:r w:rsidR="00F07306">
        <w:rPr>
          <w:rFonts w:ascii="Calibri" w:hAnsi="Calibri"/>
        </w:rPr>
        <w:t>, audio, image, or video in a manner that stimulates interpersonal interactions or conversation</w:t>
      </w:r>
      <w:r w:rsidRPr="00DA1970">
        <w:rPr>
          <w:rFonts w:ascii="Calibri" w:hAnsi="Calibri"/>
        </w:rPr>
        <w:t>.</w:t>
      </w:r>
    </w:p>
    <w:p w14:paraId="3AB532A9" w14:textId="77777777" w:rsidR="00DA1970" w:rsidRPr="00DA1970" w:rsidRDefault="00DA1970" w:rsidP="00DA1970">
      <w:pPr>
        <w:numPr>
          <w:ilvl w:val="0"/>
          <w:numId w:val="1"/>
        </w:numPr>
        <w:contextualSpacing/>
        <w:rPr>
          <w:rFonts w:ascii="Calibri" w:hAnsi="Calibri"/>
        </w:rPr>
      </w:pPr>
      <w:r w:rsidRPr="00DA1970">
        <w:rPr>
          <w:rFonts w:ascii="Calibri" w:hAnsi="Calibri"/>
        </w:rPr>
        <w:t>Provides that chatbots are considered products for purposes of product liability law.</w:t>
      </w:r>
    </w:p>
    <w:p w14:paraId="54654CD1" w14:textId="77777777" w:rsidR="00DA1970" w:rsidRPr="00DA1970" w:rsidRDefault="00DA1970" w:rsidP="00DA1970">
      <w:pPr>
        <w:numPr>
          <w:ilvl w:val="0"/>
          <w:numId w:val="1"/>
        </w:numPr>
        <w:contextualSpacing/>
        <w:rPr>
          <w:rFonts w:ascii="Calibri" w:hAnsi="Calibri"/>
        </w:rPr>
      </w:pPr>
      <w:r w:rsidRPr="00DA1970">
        <w:rPr>
          <w:rFonts w:ascii="Calibri" w:hAnsi="Calibri"/>
        </w:rPr>
        <w:t>Imposes strict liability for injuries caused by chatbot use.</w:t>
      </w:r>
    </w:p>
    <w:p w14:paraId="4D40DC72" w14:textId="77777777" w:rsidR="00DA1970" w:rsidRPr="00DA1970" w:rsidRDefault="00DA1970" w:rsidP="00DA1970">
      <w:pPr>
        <w:numPr>
          <w:ilvl w:val="0"/>
          <w:numId w:val="1"/>
        </w:numPr>
        <w:contextualSpacing/>
        <w:rPr>
          <w:rFonts w:ascii="Calibri" w:hAnsi="Calibri"/>
        </w:rPr>
      </w:pPr>
      <w:r w:rsidRPr="00DA1970">
        <w:rPr>
          <w:rFonts w:ascii="Calibri" w:hAnsi="Calibri"/>
        </w:rPr>
        <w:t>Creates a private right of action for individuals harmed by chatbot use.</w:t>
      </w:r>
    </w:p>
    <w:p w14:paraId="4C55D82E" w14:textId="77777777" w:rsidR="00DA1970" w:rsidRPr="00DA1970" w:rsidRDefault="00DA1970" w:rsidP="00DA1970">
      <w:pPr>
        <w:numPr>
          <w:ilvl w:val="0"/>
          <w:numId w:val="1"/>
        </w:numPr>
        <w:contextualSpacing/>
        <w:rPr>
          <w:rFonts w:ascii="Calibri" w:hAnsi="Calibri"/>
        </w:rPr>
      </w:pPr>
      <w:r w:rsidRPr="00DA1970">
        <w:rPr>
          <w:rFonts w:ascii="Calibri" w:hAnsi="Calibri"/>
        </w:rPr>
        <w:t>Authorizes recovery of actual damages, injunctive relief, and reasonable attorney’s fees.</w:t>
      </w:r>
    </w:p>
    <w:p w14:paraId="14534397" w14:textId="77777777" w:rsidR="00DA1970" w:rsidRDefault="00DA1970" w:rsidP="00AA40D0">
      <w:pPr>
        <w:numPr>
          <w:ilvl w:val="0"/>
          <w:numId w:val="1"/>
        </w:numPr>
        <w:spacing w:after="0"/>
        <w:contextualSpacing/>
        <w:rPr>
          <w:rFonts w:ascii="Calibri" w:hAnsi="Calibri"/>
        </w:rPr>
      </w:pPr>
      <w:r w:rsidRPr="00DA1970">
        <w:rPr>
          <w:rFonts w:ascii="Calibri" w:hAnsi="Calibri"/>
        </w:rPr>
        <w:t>Is not specific to telecommunications or broadband companies and applies generally to chatbot providers.</w:t>
      </w:r>
    </w:p>
    <w:p w14:paraId="1717C82E" w14:textId="77777777" w:rsidR="00DA1970" w:rsidRPr="00DA1970" w:rsidRDefault="00DA1970" w:rsidP="00D922F9">
      <w:pPr>
        <w:spacing w:after="0"/>
        <w:contextualSpacing/>
        <w:rPr>
          <w:rFonts w:ascii="Calibri" w:hAnsi="Calibri"/>
        </w:rPr>
      </w:pPr>
    </w:p>
    <w:p w14:paraId="23C821F0" w14:textId="0559A8B3" w:rsidR="00DA1970" w:rsidRPr="002D67CF" w:rsidRDefault="00DA1970" w:rsidP="00DA1970">
      <w:pPr>
        <w:spacing w:after="0"/>
        <w:rPr>
          <w:rFonts w:ascii="Calibri" w:hAnsi="Calibri"/>
          <w:b/>
          <w:bCs/>
          <w:color w:val="EE0000"/>
        </w:rPr>
      </w:pPr>
      <w:hyperlink r:id="rId34">
        <w:r w:rsidRPr="002D67CF">
          <w:rPr>
            <w:rFonts w:ascii="Calibri" w:hAnsi="Calibri"/>
            <w:b/>
            <w:bCs/>
            <w:color w:val="EE0000"/>
            <w:u w:val="single"/>
          </w:rPr>
          <w:t>HB 5221 – Consumer Data Privacy Act (Rep. Gonzalez)</w:t>
        </w:r>
      </w:hyperlink>
    </w:p>
    <w:p w14:paraId="4FCAAE69" w14:textId="0DE7B23B" w:rsidR="00DA1970" w:rsidRPr="00DA1970" w:rsidRDefault="00DA1970" w:rsidP="00DA1970">
      <w:pPr>
        <w:rPr>
          <w:rFonts w:ascii="Calibri" w:hAnsi="Calibri"/>
        </w:rPr>
      </w:pPr>
      <w:r w:rsidRPr="00DA1970">
        <w:rPr>
          <w:rFonts w:ascii="Calibri" w:hAnsi="Calibri"/>
        </w:rPr>
        <w:t>Summary: Creates the Consumer Data Privacy Act. Sets forth provisions concerning agreements between personal data processors and controllers; consumer rights (including opt-outs); controller responsibilities; requirements for small businesses; data privacy assessments; and enforcement/penalties.</w:t>
      </w:r>
    </w:p>
    <w:p w14:paraId="2D91C1CB" w14:textId="77777777" w:rsidR="00DA1970" w:rsidRPr="00DA1970" w:rsidRDefault="00DA1970" w:rsidP="00DA1970">
      <w:pPr>
        <w:spacing w:after="0"/>
        <w:rPr>
          <w:rFonts w:ascii="Calibri" w:hAnsi="Calibri"/>
        </w:rPr>
      </w:pPr>
      <w:r w:rsidRPr="00DA1970">
        <w:rPr>
          <w:rFonts w:ascii="Calibri" w:hAnsi="Calibri"/>
        </w:rPr>
        <w:t>Key Statutory Provisions:</w:t>
      </w:r>
    </w:p>
    <w:p w14:paraId="4882809A" w14:textId="6370AF7B" w:rsidR="00DA1970" w:rsidRPr="00DA1970" w:rsidRDefault="00DA1970" w:rsidP="00DA1970">
      <w:pPr>
        <w:numPr>
          <w:ilvl w:val="0"/>
          <w:numId w:val="1"/>
        </w:numPr>
        <w:contextualSpacing/>
        <w:rPr>
          <w:rFonts w:ascii="Calibri" w:hAnsi="Calibri"/>
        </w:rPr>
      </w:pPr>
      <w:r w:rsidRPr="00DA1970">
        <w:rPr>
          <w:rFonts w:ascii="Calibri" w:hAnsi="Calibri"/>
        </w:rPr>
        <w:t xml:space="preserve">Applies to covered entities doing business in Illinois that </w:t>
      </w:r>
      <w:r w:rsidR="00A222EB" w:rsidRPr="00A222EB">
        <w:rPr>
          <w:rFonts w:ascii="Calibri" w:hAnsi="Calibri"/>
        </w:rPr>
        <w:t>that satisfy one or more of the following thresholds: (1) during a calendar year, controls or processes personal data of 100,000 consumers or more, excluding personal data controlled or processed solely for the purpose of completing a payment transaction; or (2) derives over 25% of gross revenue from the sale of personal data and processes or controls personal data of 25,000 consumers or more.</w:t>
      </w:r>
      <w:r w:rsidR="008A4D32">
        <w:rPr>
          <w:rFonts w:ascii="Calibri" w:hAnsi="Calibri"/>
        </w:rPr>
        <w:t xml:space="preserve"> I</w:t>
      </w:r>
      <w:r w:rsidRPr="00DA1970">
        <w:rPr>
          <w:rFonts w:ascii="Calibri" w:hAnsi="Calibri"/>
        </w:rPr>
        <w:t>ncludes enumerated exemptions for certain entities and data.</w:t>
      </w:r>
    </w:p>
    <w:p w14:paraId="518C7BF2" w14:textId="77777777" w:rsidR="00DA1970" w:rsidRPr="00DA1970" w:rsidRDefault="00DA1970" w:rsidP="00DA1970">
      <w:pPr>
        <w:numPr>
          <w:ilvl w:val="0"/>
          <w:numId w:val="1"/>
        </w:numPr>
        <w:contextualSpacing/>
        <w:rPr>
          <w:rFonts w:ascii="Calibri" w:hAnsi="Calibri"/>
        </w:rPr>
      </w:pPr>
      <w:r w:rsidRPr="00DA1970">
        <w:rPr>
          <w:rFonts w:ascii="Calibri" w:hAnsi="Calibri"/>
        </w:rPr>
        <w:t>Creates consumer rights to access, correct, delete, and obtain a copy/portability of personal data, and to opt out of targeted advertising, the sale of personal data, and certain profiling.</w:t>
      </w:r>
    </w:p>
    <w:p w14:paraId="157BD140"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controllers to provide privacy notices, implement reasonable security practices, and limit collection/processing to what is necessary and compatible with disclosed purposes.</w:t>
      </w:r>
    </w:p>
    <w:p w14:paraId="4A175206"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controller–processor contracts with minimum statutory terms and mandates processor assistance with compliance and consumer requests.</w:t>
      </w:r>
    </w:p>
    <w:p w14:paraId="7BB29ED8" w14:textId="707B6E1B" w:rsidR="00DA1970" w:rsidRPr="00DA1970" w:rsidRDefault="00DA1970" w:rsidP="00DA1970">
      <w:pPr>
        <w:numPr>
          <w:ilvl w:val="0"/>
          <w:numId w:val="1"/>
        </w:numPr>
        <w:contextualSpacing/>
        <w:rPr>
          <w:rFonts w:ascii="Calibri" w:hAnsi="Calibri"/>
        </w:rPr>
      </w:pPr>
      <w:r w:rsidRPr="00DA1970">
        <w:rPr>
          <w:rFonts w:ascii="Calibri" w:hAnsi="Calibri"/>
        </w:rPr>
        <w:t xml:space="preserve">Requires data protection assessments for specified higher-risk processing activities and documents </w:t>
      </w:r>
      <w:r w:rsidR="008A4D32" w:rsidRPr="00DA1970">
        <w:rPr>
          <w:rFonts w:ascii="Calibri" w:hAnsi="Calibri"/>
        </w:rPr>
        <w:t>balancing</w:t>
      </w:r>
      <w:r w:rsidRPr="00DA1970">
        <w:rPr>
          <w:rFonts w:ascii="Calibri" w:hAnsi="Calibri"/>
        </w:rPr>
        <w:t xml:space="preserve"> benefits and risks.</w:t>
      </w:r>
    </w:p>
    <w:p w14:paraId="0E84CF8A" w14:textId="77777777" w:rsidR="00DA1970" w:rsidRPr="00DA1970" w:rsidRDefault="00DA1970" w:rsidP="00DA1970">
      <w:pPr>
        <w:numPr>
          <w:ilvl w:val="0"/>
          <w:numId w:val="1"/>
        </w:numPr>
        <w:contextualSpacing/>
        <w:rPr>
          <w:rFonts w:ascii="Calibri" w:hAnsi="Calibri"/>
        </w:rPr>
      </w:pPr>
      <w:r w:rsidRPr="00DA1970">
        <w:rPr>
          <w:rFonts w:ascii="Calibri" w:hAnsi="Calibri"/>
        </w:rPr>
        <w:t>Provides for Attorney General enforcement and civil penalties and includes home-rule preemption provisions as specified.</w:t>
      </w:r>
    </w:p>
    <w:p w14:paraId="181A9968" w14:textId="77777777" w:rsidR="00DA1970" w:rsidRDefault="00DA1970" w:rsidP="00DA1970">
      <w:pPr>
        <w:numPr>
          <w:ilvl w:val="0"/>
          <w:numId w:val="1"/>
        </w:numPr>
        <w:contextualSpacing/>
        <w:rPr>
          <w:rFonts w:ascii="Calibri" w:hAnsi="Calibri"/>
        </w:rPr>
      </w:pPr>
      <w:r w:rsidRPr="00DA1970">
        <w:rPr>
          <w:rFonts w:ascii="Calibri" w:hAnsi="Calibri"/>
        </w:rPr>
        <w:lastRenderedPageBreak/>
        <w:t>Applies to telecommunications and broadband companies if they meet coverage thresholds; it is not limited solely to telecom/broadband companies and does not expressly exclude them.</w:t>
      </w:r>
    </w:p>
    <w:p w14:paraId="44918687" w14:textId="77777777" w:rsidR="00DA1970" w:rsidRPr="00DA1970" w:rsidRDefault="00DA1970" w:rsidP="00DA1970">
      <w:pPr>
        <w:contextualSpacing/>
        <w:rPr>
          <w:rFonts w:ascii="Calibri" w:hAnsi="Calibri"/>
        </w:rPr>
      </w:pPr>
    </w:p>
    <w:p w14:paraId="5D6F8C1A" w14:textId="77777777" w:rsidR="00DA1970" w:rsidRPr="002D67CF" w:rsidRDefault="00DA1970" w:rsidP="00DA1970">
      <w:pPr>
        <w:spacing w:after="0"/>
        <w:rPr>
          <w:rFonts w:ascii="Calibri" w:hAnsi="Calibri"/>
          <w:b/>
          <w:bCs/>
          <w:color w:val="EE0000"/>
        </w:rPr>
      </w:pPr>
      <w:hyperlink r:id="rId35">
        <w:r w:rsidRPr="002D67CF">
          <w:rPr>
            <w:rFonts w:ascii="Calibri" w:hAnsi="Calibri"/>
            <w:b/>
            <w:bCs/>
            <w:color w:val="EE0000"/>
            <w:u w:val="single"/>
          </w:rPr>
          <w:t>SB 2875 – Consumer Data Privacy (Sen. Murphy)</w:t>
        </w:r>
      </w:hyperlink>
    </w:p>
    <w:p w14:paraId="1B5E9AD6" w14:textId="420C5118" w:rsidR="00DA1970" w:rsidRPr="00DA1970" w:rsidRDefault="00DA1970" w:rsidP="00DA1970">
      <w:pPr>
        <w:rPr>
          <w:rFonts w:ascii="Calibri" w:hAnsi="Calibri"/>
        </w:rPr>
      </w:pPr>
      <w:r w:rsidRPr="00DA1970">
        <w:rPr>
          <w:rFonts w:ascii="Calibri" w:hAnsi="Calibri"/>
        </w:rPr>
        <w:t>Summary: Creates the Illinois Consumer Data Privacy Act. Establishes consumer rights and controller/processor obligations governing personal data processing, including opt-outs, notices, assessments, and enforcement.</w:t>
      </w:r>
    </w:p>
    <w:p w14:paraId="1766D1F8" w14:textId="77777777" w:rsidR="00DA1970" w:rsidRPr="00DA1970" w:rsidRDefault="00DA1970" w:rsidP="00DA1970">
      <w:pPr>
        <w:spacing w:after="0"/>
        <w:rPr>
          <w:rFonts w:ascii="Calibri" w:hAnsi="Calibri"/>
        </w:rPr>
      </w:pPr>
      <w:r w:rsidRPr="00DA1970">
        <w:rPr>
          <w:rFonts w:ascii="Calibri" w:hAnsi="Calibri"/>
        </w:rPr>
        <w:t>Key Statutory Provisions:</w:t>
      </w:r>
    </w:p>
    <w:p w14:paraId="5E91E2D8" w14:textId="77777777" w:rsidR="00DA1970" w:rsidRPr="00DA1970" w:rsidRDefault="00DA1970" w:rsidP="00DA1970">
      <w:pPr>
        <w:numPr>
          <w:ilvl w:val="0"/>
          <w:numId w:val="1"/>
        </w:numPr>
        <w:contextualSpacing/>
        <w:rPr>
          <w:rFonts w:ascii="Calibri" w:hAnsi="Calibri"/>
        </w:rPr>
      </w:pPr>
      <w:r w:rsidRPr="00DA1970">
        <w:rPr>
          <w:rFonts w:ascii="Calibri" w:hAnsi="Calibri"/>
        </w:rPr>
        <w:t>Applies to covered entities doing business in Illinois or targeting Illinois residents and meeting statutory applicability thresholds; includes enumerated exemptions for certain entities and data.</w:t>
      </w:r>
    </w:p>
    <w:p w14:paraId="1DB86AD0" w14:textId="77777777" w:rsidR="00DA1970" w:rsidRPr="00DA1970" w:rsidRDefault="00DA1970" w:rsidP="00DA1970">
      <w:pPr>
        <w:numPr>
          <w:ilvl w:val="0"/>
          <w:numId w:val="1"/>
        </w:numPr>
        <w:contextualSpacing/>
        <w:rPr>
          <w:rFonts w:ascii="Calibri" w:hAnsi="Calibri"/>
        </w:rPr>
      </w:pPr>
      <w:r w:rsidRPr="00DA1970">
        <w:rPr>
          <w:rFonts w:ascii="Calibri" w:hAnsi="Calibri"/>
        </w:rPr>
        <w:t>Creates consumer rights to access, correct, delete, and obtain a copy/portability of personal data, and to opt out of targeted advertising, the sale of personal data, and certain profiling.</w:t>
      </w:r>
    </w:p>
    <w:p w14:paraId="46E66815"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controllers to provide privacy notices and to implement reasonable administrative, technical, and physical security practices.</w:t>
      </w:r>
    </w:p>
    <w:p w14:paraId="1033C227"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controller–processor contracts with minimum statutory terms and processor cooperation with compliance and consumer requests.</w:t>
      </w:r>
    </w:p>
    <w:p w14:paraId="2CAC0173" w14:textId="77777777" w:rsidR="00DA1970" w:rsidRPr="00DA1970" w:rsidRDefault="00DA1970" w:rsidP="00DA1970">
      <w:pPr>
        <w:numPr>
          <w:ilvl w:val="0"/>
          <w:numId w:val="1"/>
        </w:numPr>
        <w:contextualSpacing/>
        <w:rPr>
          <w:rFonts w:ascii="Calibri" w:hAnsi="Calibri"/>
        </w:rPr>
      </w:pPr>
      <w:r w:rsidRPr="00DA1970">
        <w:rPr>
          <w:rFonts w:ascii="Calibri" w:hAnsi="Calibri"/>
        </w:rPr>
        <w:t>Requires data protection assessments for specified higher-risk processing activities.</w:t>
      </w:r>
    </w:p>
    <w:p w14:paraId="5DC063DB" w14:textId="77777777" w:rsidR="00DA1970" w:rsidRPr="00DA1970" w:rsidRDefault="00DA1970" w:rsidP="00DA1970">
      <w:pPr>
        <w:numPr>
          <w:ilvl w:val="0"/>
          <w:numId w:val="1"/>
        </w:numPr>
        <w:contextualSpacing/>
        <w:rPr>
          <w:rFonts w:ascii="Calibri" w:hAnsi="Calibri"/>
        </w:rPr>
      </w:pPr>
      <w:r w:rsidRPr="00DA1970">
        <w:rPr>
          <w:rFonts w:ascii="Calibri" w:hAnsi="Calibri"/>
        </w:rPr>
        <w:t>Provides Attorney General enforcement, civil penalties, and home-rule preemption provisions as specified.</w:t>
      </w:r>
    </w:p>
    <w:p w14:paraId="38C3A28C" w14:textId="77777777" w:rsidR="00DA1970" w:rsidRDefault="00DA1970" w:rsidP="00DA1970">
      <w:pPr>
        <w:numPr>
          <w:ilvl w:val="0"/>
          <w:numId w:val="1"/>
        </w:numPr>
        <w:contextualSpacing/>
        <w:rPr>
          <w:rFonts w:ascii="Calibri" w:hAnsi="Calibri"/>
        </w:rPr>
      </w:pPr>
      <w:r w:rsidRPr="00DA1970">
        <w:rPr>
          <w:rFonts w:ascii="Calibri" w:hAnsi="Calibri"/>
        </w:rPr>
        <w:t>Applies to telecommunications and broadband companies if they meet coverage thresholds; it is not limited solely to telecom/broadband companies and does not expressly exclude them.</w:t>
      </w:r>
    </w:p>
    <w:p w14:paraId="62FCCD49" w14:textId="77777777" w:rsidR="00B00895" w:rsidRPr="00DA1970" w:rsidRDefault="00B00895" w:rsidP="00DA1970">
      <w:pPr>
        <w:contextualSpacing/>
        <w:rPr>
          <w:rFonts w:ascii="Calibri" w:hAnsi="Calibri"/>
        </w:rPr>
      </w:pPr>
    </w:p>
    <w:p w14:paraId="443FB478" w14:textId="77777777" w:rsidR="00DA1970" w:rsidRPr="002D67CF" w:rsidRDefault="00DA1970" w:rsidP="00DA1970">
      <w:pPr>
        <w:spacing w:after="0"/>
        <w:rPr>
          <w:rFonts w:ascii="Calibri" w:hAnsi="Calibri"/>
          <w:b/>
          <w:bCs/>
          <w:color w:val="EE0000"/>
        </w:rPr>
      </w:pPr>
      <w:hyperlink r:id="rId36">
        <w:r w:rsidRPr="002D67CF">
          <w:rPr>
            <w:rFonts w:ascii="Calibri" w:hAnsi="Calibri"/>
            <w:b/>
            <w:bCs/>
            <w:color w:val="EE0000"/>
            <w:u w:val="single"/>
          </w:rPr>
          <w:t>SB 2897 – Info Protection-Immigration (Sen. Villanueva)</w:t>
        </w:r>
      </w:hyperlink>
    </w:p>
    <w:p w14:paraId="5AFB30BD" w14:textId="77777777" w:rsidR="00DA1970" w:rsidRPr="00DA1970" w:rsidRDefault="00DA1970" w:rsidP="00DA1970">
      <w:pPr>
        <w:rPr>
          <w:rFonts w:ascii="Calibri" w:hAnsi="Calibri"/>
        </w:rPr>
      </w:pPr>
      <w:r w:rsidRPr="00DA1970">
        <w:rPr>
          <w:rFonts w:ascii="Calibri" w:hAnsi="Calibri"/>
        </w:rPr>
        <w:t>Summary: Restricts collection, use, and disclosure of specified immigration-related information and establishes confidentiality, safeguards, and penalties for misuse by covered entities and/or governmental actors.</w:t>
      </w:r>
    </w:p>
    <w:p w14:paraId="7189B7FF" w14:textId="77777777" w:rsidR="00DA1970" w:rsidRPr="00DA1970" w:rsidRDefault="00DA1970" w:rsidP="00DA1970">
      <w:pPr>
        <w:spacing w:after="0"/>
        <w:rPr>
          <w:rFonts w:ascii="Calibri" w:hAnsi="Calibri"/>
        </w:rPr>
      </w:pPr>
      <w:r w:rsidRPr="00DA1970">
        <w:rPr>
          <w:rFonts w:ascii="Calibri" w:hAnsi="Calibri"/>
        </w:rPr>
        <w:t>Key Statutory Provisions:</w:t>
      </w:r>
    </w:p>
    <w:p w14:paraId="4B649CB5" w14:textId="4117B225" w:rsidR="00DA1970" w:rsidRPr="00DA1970" w:rsidRDefault="006F60D4" w:rsidP="00DA1970">
      <w:pPr>
        <w:numPr>
          <w:ilvl w:val="0"/>
          <w:numId w:val="1"/>
        </w:numPr>
        <w:contextualSpacing/>
        <w:rPr>
          <w:rFonts w:ascii="Calibri" w:hAnsi="Calibri"/>
        </w:rPr>
      </w:pPr>
      <w:r>
        <w:rPr>
          <w:rFonts w:ascii="Calibri" w:hAnsi="Calibri"/>
        </w:rPr>
        <w:t xml:space="preserve">A </w:t>
      </w:r>
      <w:r w:rsidR="00F55084" w:rsidRPr="00F55084">
        <w:rPr>
          <w:rFonts w:ascii="Calibri" w:hAnsi="Calibri"/>
        </w:rPr>
        <w:t>"Data collector" may include, but is not limited to, government agencies, public and private universities, privately and publicly held corporations, financial institutions, retail operators, and any other entity that, for any purpose, handles, collects, disseminates, or otherwise deals with nonpublic personal information.</w:t>
      </w:r>
    </w:p>
    <w:p w14:paraId="480B2463" w14:textId="33C4D02D" w:rsidR="00DA1970" w:rsidRPr="007559E4" w:rsidRDefault="00DA1970" w:rsidP="00DA1970">
      <w:pPr>
        <w:numPr>
          <w:ilvl w:val="0"/>
          <w:numId w:val="1"/>
        </w:numPr>
        <w:contextualSpacing/>
        <w:rPr>
          <w:rFonts w:ascii="Calibri" w:hAnsi="Calibri"/>
        </w:rPr>
      </w:pPr>
      <w:r w:rsidRPr="007559E4">
        <w:rPr>
          <w:rFonts w:ascii="Calibri" w:hAnsi="Calibri"/>
        </w:rPr>
        <w:t xml:space="preserve">Restricts </w:t>
      </w:r>
      <w:r w:rsidR="004B38CE" w:rsidRPr="007559E4">
        <w:rPr>
          <w:rFonts w:ascii="Calibri" w:hAnsi="Calibri"/>
        </w:rPr>
        <w:t>a “data collector</w:t>
      </w:r>
      <w:r w:rsidR="00DD6AA3" w:rsidRPr="007559E4">
        <w:rPr>
          <w:rFonts w:ascii="Calibri" w:hAnsi="Calibri"/>
        </w:rPr>
        <w:t xml:space="preserve"> from </w:t>
      </w:r>
      <w:r w:rsidR="007559E4" w:rsidRPr="007559E4">
        <w:rPr>
          <w:rFonts w:ascii="Calibri" w:hAnsi="Calibri"/>
        </w:rPr>
        <w:t>own</w:t>
      </w:r>
      <w:r w:rsidR="007559E4">
        <w:rPr>
          <w:rFonts w:ascii="Calibri" w:hAnsi="Calibri"/>
        </w:rPr>
        <w:t>ing</w:t>
      </w:r>
      <w:r w:rsidR="007559E4" w:rsidRPr="007559E4">
        <w:rPr>
          <w:rFonts w:ascii="Calibri" w:hAnsi="Calibri"/>
        </w:rPr>
        <w:t>, maintain</w:t>
      </w:r>
      <w:r w:rsidR="00857652">
        <w:rPr>
          <w:rFonts w:ascii="Calibri" w:hAnsi="Calibri"/>
        </w:rPr>
        <w:t>ing</w:t>
      </w:r>
      <w:r w:rsidR="007559E4" w:rsidRPr="007559E4">
        <w:rPr>
          <w:rFonts w:ascii="Calibri" w:hAnsi="Calibri"/>
        </w:rPr>
        <w:t>, licens</w:t>
      </w:r>
      <w:r w:rsidR="00857652">
        <w:rPr>
          <w:rFonts w:ascii="Calibri" w:hAnsi="Calibri"/>
        </w:rPr>
        <w:t>ing</w:t>
      </w:r>
      <w:r w:rsidR="007559E4" w:rsidRPr="007559E4">
        <w:rPr>
          <w:rFonts w:ascii="Calibri" w:hAnsi="Calibri"/>
        </w:rPr>
        <w:t>, stor</w:t>
      </w:r>
      <w:r w:rsidR="00857652">
        <w:rPr>
          <w:rFonts w:ascii="Calibri" w:hAnsi="Calibri"/>
        </w:rPr>
        <w:t>ing</w:t>
      </w:r>
      <w:r w:rsidR="007559E4" w:rsidRPr="007559E4">
        <w:rPr>
          <w:rFonts w:ascii="Calibri" w:hAnsi="Calibri"/>
        </w:rPr>
        <w:t>, or disclos</w:t>
      </w:r>
      <w:r w:rsidR="00857652">
        <w:rPr>
          <w:rFonts w:ascii="Calibri" w:hAnsi="Calibri"/>
        </w:rPr>
        <w:t>ing</w:t>
      </w:r>
      <w:r w:rsidR="007559E4" w:rsidRPr="007559E4">
        <w:rPr>
          <w:rFonts w:ascii="Calibri" w:hAnsi="Calibri"/>
        </w:rPr>
        <w:t xml:space="preserve"> records that contain </w:t>
      </w:r>
      <w:r w:rsidR="00857652">
        <w:rPr>
          <w:rFonts w:ascii="Calibri" w:hAnsi="Calibri"/>
        </w:rPr>
        <w:t>“</w:t>
      </w:r>
      <w:r w:rsidR="007559E4" w:rsidRPr="007559E4">
        <w:rPr>
          <w:rFonts w:ascii="Calibri" w:hAnsi="Calibri"/>
        </w:rPr>
        <w:t>immigration or citizenship status information</w:t>
      </w:r>
      <w:r w:rsidR="00857652">
        <w:rPr>
          <w:rFonts w:ascii="Calibri" w:hAnsi="Calibri"/>
        </w:rPr>
        <w:t>”</w:t>
      </w:r>
      <w:r w:rsidR="007559E4" w:rsidRPr="007559E4">
        <w:rPr>
          <w:rFonts w:ascii="Calibri" w:hAnsi="Calibri"/>
        </w:rPr>
        <w:t xml:space="preserve"> concerning an Illinois resident. </w:t>
      </w:r>
    </w:p>
    <w:p w14:paraId="6E7FBD82" w14:textId="77777777" w:rsidR="00DA1970" w:rsidRPr="00DA1970" w:rsidRDefault="00DA1970" w:rsidP="00DA1970">
      <w:pPr>
        <w:numPr>
          <w:ilvl w:val="0"/>
          <w:numId w:val="1"/>
        </w:numPr>
        <w:contextualSpacing/>
        <w:rPr>
          <w:rFonts w:ascii="Calibri" w:hAnsi="Calibri"/>
        </w:rPr>
      </w:pPr>
      <w:r w:rsidRPr="00DA1970">
        <w:rPr>
          <w:rFonts w:ascii="Calibri" w:hAnsi="Calibri"/>
        </w:rPr>
        <w:t>Provides enforcement mechanisms and penalties for violations.</w:t>
      </w:r>
    </w:p>
    <w:p w14:paraId="3596125F" w14:textId="77777777" w:rsidR="00DA1970" w:rsidRDefault="00DA1970" w:rsidP="00DA1970">
      <w:pPr>
        <w:numPr>
          <w:ilvl w:val="0"/>
          <w:numId w:val="1"/>
        </w:numPr>
        <w:contextualSpacing/>
        <w:rPr>
          <w:rFonts w:ascii="Calibri" w:hAnsi="Calibri"/>
        </w:rPr>
      </w:pPr>
      <w:r w:rsidRPr="00DA1970">
        <w:rPr>
          <w:rFonts w:ascii="Calibri" w:hAnsi="Calibri"/>
        </w:rPr>
        <w:t>Applies generally and is not specific solely to telecommunications or broadband companies; it does not expressly exclude telecom/broadband companies.</w:t>
      </w:r>
    </w:p>
    <w:p w14:paraId="040184F7" w14:textId="77777777" w:rsidR="00DA1970" w:rsidRPr="00DA1970" w:rsidRDefault="00DA1970" w:rsidP="00DA1970">
      <w:pPr>
        <w:contextualSpacing/>
        <w:rPr>
          <w:rFonts w:ascii="Calibri" w:hAnsi="Calibri"/>
        </w:rPr>
      </w:pPr>
    </w:p>
    <w:p w14:paraId="594BA0F3" w14:textId="240B6929" w:rsidR="00DA1970" w:rsidRPr="00DA1970" w:rsidRDefault="00DA1970" w:rsidP="00DA1970">
      <w:pPr>
        <w:spacing w:after="0"/>
        <w:rPr>
          <w:rFonts w:ascii="Calibri" w:hAnsi="Calibri"/>
          <w:b/>
          <w:bCs/>
        </w:rPr>
      </w:pPr>
      <w:hyperlink r:id="rId37">
        <w:r w:rsidRPr="00DA1970">
          <w:rPr>
            <w:rFonts w:ascii="Calibri" w:hAnsi="Calibri"/>
            <w:b/>
            <w:bCs/>
            <w:color w:val="0000FF"/>
            <w:u w:val="single"/>
          </w:rPr>
          <w:t>SB 2995 – Consumer Fraud-A</w:t>
        </w:r>
        <w:r w:rsidR="00052EF3">
          <w:rPr>
            <w:rFonts w:ascii="Calibri" w:hAnsi="Calibri"/>
            <w:b/>
            <w:bCs/>
            <w:color w:val="0000FF"/>
            <w:u w:val="single"/>
          </w:rPr>
          <w:t>I</w:t>
        </w:r>
        <w:r w:rsidRPr="00DA1970">
          <w:rPr>
            <w:rFonts w:ascii="Calibri" w:hAnsi="Calibri"/>
            <w:b/>
            <w:bCs/>
            <w:color w:val="0000FF"/>
            <w:u w:val="single"/>
          </w:rPr>
          <w:t xml:space="preserve"> Disclosure (Sen. Ventura)</w:t>
        </w:r>
      </w:hyperlink>
    </w:p>
    <w:p w14:paraId="456A6D55" w14:textId="77777777" w:rsidR="00DA1970" w:rsidRPr="00DA1970" w:rsidRDefault="00DA1970" w:rsidP="00DA1970">
      <w:pPr>
        <w:rPr>
          <w:rFonts w:ascii="Calibri" w:hAnsi="Calibri"/>
        </w:rPr>
      </w:pPr>
      <w:r w:rsidRPr="00DA1970">
        <w:rPr>
          <w:rFonts w:ascii="Calibri" w:hAnsi="Calibri"/>
        </w:rPr>
        <w:t>Summary: Amends consumer fraud law to require disclosures when artificial intelligence is used in consumer-facing interactions or AI-generated content, and to treat failures to disclose or misleading AI representations as unlawful/deceptive practices.</w:t>
      </w:r>
    </w:p>
    <w:p w14:paraId="1EF134AA" w14:textId="77777777" w:rsidR="00DA1970" w:rsidRPr="00DA1970" w:rsidRDefault="00DA1970" w:rsidP="00DA1970">
      <w:pPr>
        <w:spacing w:after="0"/>
        <w:rPr>
          <w:rFonts w:ascii="Calibri" w:hAnsi="Calibri"/>
        </w:rPr>
      </w:pPr>
      <w:r w:rsidRPr="00DA1970">
        <w:rPr>
          <w:rFonts w:ascii="Calibri" w:hAnsi="Calibri"/>
        </w:rPr>
        <w:t>Key Statutory Provisions:</w:t>
      </w:r>
    </w:p>
    <w:p w14:paraId="267E2EFB" w14:textId="77777777" w:rsidR="00DA1970" w:rsidRPr="00DA1970" w:rsidRDefault="00DA1970" w:rsidP="00DA1970">
      <w:pPr>
        <w:numPr>
          <w:ilvl w:val="0"/>
          <w:numId w:val="1"/>
        </w:numPr>
        <w:contextualSpacing/>
        <w:rPr>
          <w:rFonts w:ascii="Calibri" w:hAnsi="Calibri"/>
        </w:rPr>
      </w:pPr>
      <w:r w:rsidRPr="00DA1970">
        <w:rPr>
          <w:rFonts w:ascii="Calibri" w:hAnsi="Calibri"/>
        </w:rPr>
        <w:t>Defines covered AI-enabled communications/content and when disclosures must be made (e.g., at the outset of an interaction or in proximity to AI-generated content).</w:t>
      </w:r>
    </w:p>
    <w:p w14:paraId="51DD2920"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clear and conspicuous disclosure that a consumer is interacting with AI or that content is AI-generated, as specified.</w:t>
      </w:r>
    </w:p>
    <w:p w14:paraId="2C7F9794" w14:textId="77777777" w:rsidR="00DA1970" w:rsidRPr="00DA1970" w:rsidRDefault="00DA1970" w:rsidP="00DA1970">
      <w:pPr>
        <w:numPr>
          <w:ilvl w:val="0"/>
          <w:numId w:val="1"/>
        </w:numPr>
        <w:contextualSpacing/>
        <w:rPr>
          <w:rFonts w:ascii="Calibri" w:hAnsi="Calibri"/>
        </w:rPr>
      </w:pPr>
      <w:r w:rsidRPr="00DA1970">
        <w:rPr>
          <w:rFonts w:ascii="Calibri" w:hAnsi="Calibri"/>
        </w:rPr>
        <w:t>Prohibits deceptive representations about whether AI is being used or about AI capabilities/limitations in consumer contexts.</w:t>
      </w:r>
    </w:p>
    <w:p w14:paraId="35E6D245" w14:textId="646971ED" w:rsidR="00DA1970" w:rsidRPr="00DA1970" w:rsidRDefault="00DA1970" w:rsidP="00DA1970">
      <w:pPr>
        <w:numPr>
          <w:ilvl w:val="0"/>
          <w:numId w:val="1"/>
        </w:numPr>
        <w:contextualSpacing/>
        <w:rPr>
          <w:rFonts w:ascii="Calibri" w:hAnsi="Calibri"/>
        </w:rPr>
      </w:pPr>
      <w:r w:rsidRPr="00DA1970">
        <w:rPr>
          <w:rFonts w:ascii="Calibri" w:hAnsi="Calibri"/>
        </w:rPr>
        <w:t xml:space="preserve">Provides for enforcement under </w:t>
      </w:r>
      <w:r w:rsidR="00102F60">
        <w:rPr>
          <w:rFonts w:ascii="Calibri" w:hAnsi="Calibri"/>
        </w:rPr>
        <w:t xml:space="preserve">the </w:t>
      </w:r>
      <w:r w:rsidR="00102F60" w:rsidRPr="00102F60">
        <w:rPr>
          <w:rFonts w:ascii="Calibri" w:hAnsi="Calibri"/>
        </w:rPr>
        <w:t>Consumer Fraud and Deceptive Business Practices Act.</w:t>
      </w:r>
    </w:p>
    <w:p w14:paraId="731D822C" w14:textId="77777777" w:rsidR="00DA1970" w:rsidRDefault="00DA1970" w:rsidP="00DA1970">
      <w:pPr>
        <w:numPr>
          <w:ilvl w:val="0"/>
          <w:numId w:val="1"/>
        </w:numPr>
        <w:contextualSpacing/>
        <w:rPr>
          <w:rFonts w:ascii="Calibri" w:hAnsi="Calibri"/>
        </w:rPr>
      </w:pPr>
      <w:r w:rsidRPr="00DA1970">
        <w:rPr>
          <w:rFonts w:ascii="Calibri" w:hAnsi="Calibri"/>
        </w:rPr>
        <w:t>Applies broadly across consumer-facing businesses and is not specific solely to telecommunications or broadband companies.</w:t>
      </w:r>
    </w:p>
    <w:p w14:paraId="13519587" w14:textId="77777777" w:rsidR="00F30863" w:rsidRDefault="00F30863" w:rsidP="00DA1970">
      <w:pPr>
        <w:spacing w:after="0"/>
      </w:pPr>
    </w:p>
    <w:p w14:paraId="4E17BB68" w14:textId="2F2471CC" w:rsidR="00DA1970" w:rsidRPr="00326BD5" w:rsidRDefault="00DA1970" w:rsidP="00DA1970">
      <w:pPr>
        <w:spacing w:after="0"/>
        <w:rPr>
          <w:rFonts w:ascii="Calibri" w:hAnsi="Calibri"/>
          <w:b/>
          <w:bCs/>
          <w:color w:val="EE0000"/>
        </w:rPr>
      </w:pPr>
      <w:hyperlink r:id="rId38">
        <w:r w:rsidRPr="00326BD5">
          <w:rPr>
            <w:rFonts w:ascii="Calibri" w:hAnsi="Calibri"/>
            <w:b/>
            <w:bCs/>
            <w:color w:val="EE0000"/>
            <w:u w:val="single"/>
          </w:rPr>
          <w:t>SB 3180 – A</w:t>
        </w:r>
        <w:r w:rsidR="00052EF3" w:rsidRPr="00326BD5">
          <w:rPr>
            <w:rFonts w:ascii="Calibri" w:hAnsi="Calibri"/>
            <w:b/>
            <w:bCs/>
            <w:color w:val="EE0000"/>
            <w:u w:val="single"/>
          </w:rPr>
          <w:t>I</w:t>
        </w:r>
        <w:r w:rsidRPr="00326BD5">
          <w:rPr>
            <w:rFonts w:ascii="Calibri" w:hAnsi="Calibri"/>
            <w:b/>
            <w:bCs/>
            <w:color w:val="EE0000"/>
            <w:u w:val="single"/>
          </w:rPr>
          <w:t xml:space="preserve"> Data Privacy Act (Sen. Ventura)</w:t>
        </w:r>
      </w:hyperlink>
    </w:p>
    <w:p w14:paraId="7F7D747F" w14:textId="77777777" w:rsidR="00DA1970" w:rsidRPr="00DA1970" w:rsidRDefault="00DA1970" w:rsidP="00DA1970">
      <w:pPr>
        <w:rPr>
          <w:rFonts w:ascii="Calibri" w:hAnsi="Calibri"/>
        </w:rPr>
      </w:pPr>
      <w:r w:rsidRPr="00DA1970">
        <w:rPr>
          <w:rFonts w:ascii="Calibri" w:hAnsi="Calibri"/>
        </w:rPr>
        <w:t>Summary: Creates the AI Data Privacy Act establishing privacy and governance requirements for personal data used to train, develop, or operate AI systems, including transparency, minimization, security, and related compliance obligations.</w:t>
      </w:r>
    </w:p>
    <w:p w14:paraId="0AEB25AD" w14:textId="77777777" w:rsidR="00DA1970" w:rsidRPr="00DA1970" w:rsidRDefault="00DA1970" w:rsidP="00DA1970">
      <w:pPr>
        <w:spacing w:after="0"/>
        <w:rPr>
          <w:rFonts w:ascii="Calibri" w:hAnsi="Calibri"/>
        </w:rPr>
      </w:pPr>
      <w:r w:rsidRPr="00DA1970">
        <w:rPr>
          <w:rFonts w:ascii="Calibri" w:hAnsi="Calibri"/>
        </w:rPr>
        <w:t>Key Statutory Provisions:</w:t>
      </w:r>
    </w:p>
    <w:p w14:paraId="7568640D" w14:textId="40D32B6D" w:rsidR="001169AD" w:rsidRDefault="00962484" w:rsidP="00DA1970">
      <w:pPr>
        <w:numPr>
          <w:ilvl w:val="0"/>
          <w:numId w:val="1"/>
        </w:numPr>
        <w:contextualSpacing/>
        <w:rPr>
          <w:rFonts w:ascii="Calibri" w:hAnsi="Calibri"/>
        </w:rPr>
      </w:pPr>
      <w:r w:rsidRPr="00962484">
        <w:rPr>
          <w:rFonts w:ascii="Calibri" w:hAnsi="Calibri"/>
        </w:rPr>
        <w:t>Beginning January 1, 2027</w:t>
      </w:r>
      <w:r w:rsidR="001169AD">
        <w:rPr>
          <w:rFonts w:ascii="Calibri" w:hAnsi="Calibri"/>
        </w:rPr>
        <w:t>,</w:t>
      </w:r>
      <w:r w:rsidRPr="00962484">
        <w:rPr>
          <w:rFonts w:ascii="Calibri" w:hAnsi="Calibri"/>
        </w:rPr>
        <w:t xml:space="preserve"> a</w:t>
      </w:r>
      <w:r w:rsidR="001169AD">
        <w:rPr>
          <w:rFonts w:ascii="Calibri" w:hAnsi="Calibri"/>
        </w:rPr>
        <w:t>n AI</w:t>
      </w:r>
      <w:r w:rsidRPr="00962484">
        <w:rPr>
          <w:rFonts w:ascii="Calibri" w:hAnsi="Calibri"/>
        </w:rPr>
        <w:t xml:space="preserve"> deployer's artificial intelligence shall not train on a user's covered information and retain the training data indefinitely, unless the deployer first: (A) informs the user that the artificial intelligence will retain training data indefinitely; and (B) obtains the user's consent to allow the artificial intelligence to retain the training data indefinitely</w:t>
      </w:r>
      <w:r w:rsidR="001169AD">
        <w:rPr>
          <w:rFonts w:ascii="Calibri" w:hAnsi="Calibri"/>
        </w:rPr>
        <w:t>.</w:t>
      </w:r>
    </w:p>
    <w:p w14:paraId="522838B3" w14:textId="4F08BF61" w:rsidR="006B48A6" w:rsidRDefault="006B48A6" w:rsidP="00DA1970">
      <w:pPr>
        <w:numPr>
          <w:ilvl w:val="0"/>
          <w:numId w:val="1"/>
        </w:numPr>
        <w:contextualSpacing/>
        <w:rPr>
          <w:rFonts w:ascii="Calibri" w:hAnsi="Calibri"/>
        </w:rPr>
      </w:pPr>
      <w:r w:rsidRPr="006B48A6">
        <w:rPr>
          <w:rFonts w:ascii="Calibri" w:hAnsi="Calibri"/>
        </w:rPr>
        <w:t>A deployer may not disclose a user's covered information to a third party unless the deployer first obtains express written consent from the user for that disclosure</w:t>
      </w:r>
      <w:r>
        <w:rPr>
          <w:rFonts w:ascii="Calibri" w:hAnsi="Calibri"/>
        </w:rPr>
        <w:t>.</w:t>
      </w:r>
    </w:p>
    <w:p w14:paraId="79AA87A7" w14:textId="5EFEF0CA" w:rsidR="00DA1970" w:rsidRPr="00962484" w:rsidRDefault="00DA1970" w:rsidP="00DA1970">
      <w:pPr>
        <w:numPr>
          <w:ilvl w:val="0"/>
          <w:numId w:val="1"/>
        </w:numPr>
        <w:contextualSpacing/>
        <w:rPr>
          <w:rFonts w:ascii="Calibri" w:hAnsi="Calibri"/>
        </w:rPr>
      </w:pPr>
      <w:r w:rsidRPr="00962484">
        <w:rPr>
          <w:rFonts w:ascii="Calibri" w:hAnsi="Calibri"/>
        </w:rPr>
        <w:t>Requires transparency and notice regarding use of personal data in AI training or operation, as specified.</w:t>
      </w:r>
    </w:p>
    <w:p w14:paraId="1E230330" w14:textId="77777777" w:rsidR="00DA1970" w:rsidRPr="00DA1970" w:rsidRDefault="00DA1970" w:rsidP="00DA1970">
      <w:pPr>
        <w:numPr>
          <w:ilvl w:val="0"/>
          <w:numId w:val="1"/>
        </w:numPr>
        <w:contextualSpacing/>
        <w:rPr>
          <w:rFonts w:ascii="Calibri" w:hAnsi="Calibri"/>
        </w:rPr>
      </w:pPr>
      <w:r w:rsidRPr="00DA1970">
        <w:rPr>
          <w:rFonts w:ascii="Calibri" w:hAnsi="Calibri"/>
        </w:rPr>
        <w:t>Imposes data minimization, purpose limitation, and security obligations for AI data pipelines.</w:t>
      </w:r>
    </w:p>
    <w:p w14:paraId="403E031B" w14:textId="77777777" w:rsidR="00DA1970" w:rsidRPr="00DA1970" w:rsidRDefault="00DA1970" w:rsidP="00DA1970">
      <w:pPr>
        <w:numPr>
          <w:ilvl w:val="0"/>
          <w:numId w:val="1"/>
        </w:numPr>
        <w:contextualSpacing/>
        <w:rPr>
          <w:rFonts w:ascii="Calibri" w:hAnsi="Calibri"/>
        </w:rPr>
      </w:pPr>
      <w:r w:rsidRPr="00DA1970">
        <w:rPr>
          <w:rFonts w:ascii="Calibri" w:hAnsi="Calibri"/>
        </w:rPr>
        <w:t>Establishes requirements for retention limits, deidentification, and vendor/processor controls for AI development.</w:t>
      </w:r>
    </w:p>
    <w:p w14:paraId="260A0544" w14:textId="2EE2CF7C" w:rsidR="00DA1970" w:rsidRPr="00DA1970" w:rsidRDefault="00DA1970" w:rsidP="00DA1970">
      <w:pPr>
        <w:numPr>
          <w:ilvl w:val="0"/>
          <w:numId w:val="1"/>
        </w:numPr>
        <w:contextualSpacing/>
        <w:rPr>
          <w:rFonts w:ascii="Calibri" w:hAnsi="Calibri"/>
        </w:rPr>
      </w:pPr>
      <w:r w:rsidRPr="00DA1970">
        <w:rPr>
          <w:rFonts w:ascii="Calibri" w:hAnsi="Calibri"/>
        </w:rPr>
        <w:t xml:space="preserve">Provides enforcement </w:t>
      </w:r>
      <w:r w:rsidR="00F83E84">
        <w:rPr>
          <w:rFonts w:ascii="Calibri" w:hAnsi="Calibri"/>
        </w:rPr>
        <w:t xml:space="preserve">through a private right of action and under the </w:t>
      </w:r>
      <w:r w:rsidR="00F83E84" w:rsidRPr="00F83E84">
        <w:rPr>
          <w:rFonts w:ascii="Calibri" w:hAnsi="Calibri"/>
        </w:rPr>
        <w:t>Consumer Fraud and Deceptive Business Practices Act</w:t>
      </w:r>
      <w:r w:rsidR="00F83E84">
        <w:rPr>
          <w:rFonts w:ascii="Calibri" w:hAnsi="Calibri"/>
        </w:rPr>
        <w:t>.</w:t>
      </w:r>
    </w:p>
    <w:p w14:paraId="6978CF1A" w14:textId="77777777" w:rsidR="00DA1970" w:rsidRDefault="00DA1970" w:rsidP="00DA1970">
      <w:pPr>
        <w:numPr>
          <w:ilvl w:val="0"/>
          <w:numId w:val="1"/>
        </w:numPr>
        <w:contextualSpacing/>
        <w:rPr>
          <w:rFonts w:ascii="Calibri" w:hAnsi="Calibri"/>
        </w:rPr>
      </w:pPr>
      <w:r w:rsidRPr="00DA1970">
        <w:rPr>
          <w:rFonts w:ascii="Calibri" w:hAnsi="Calibri"/>
        </w:rPr>
        <w:t>Applies generally to covered AI developers/operators and is not specific solely to telecommunications or broadband companies.</w:t>
      </w:r>
    </w:p>
    <w:p w14:paraId="2814CEE6" w14:textId="77777777" w:rsidR="0064021E" w:rsidRPr="00DA1970" w:rsidRDefault="0064021E" w:rsidP="0064021E">
      <w:pPr>
        <w:contextualSpacing/>
        <w:rPr>
          <w:rFonts w:ascii="Calibri" w:hAnsi="Calibri"/>
        </w:rPr>
      </w:pPr>
    </w:p>
    <w:p w14:paraId="7EACF0C9" w14:textId="77777777" w:rsidR="00B76BE2" w:rsidRDefault="00B76BE2" w:rsidP="00DA1970">
      <w:pPr>
        <w:spacing w:after="0"/>
      </w:pPr>
    </w:p>
    <w:p w14:paraId="13970C5A" w14:textId="77777777" w:rsidR="00B76BE2" w:rsidRDefault="00B76BE2" w:rsidP="00DA1970">
      <w:pPr>
        <w:spacing w:after="0"/>
      </w:pPr>
    </w:p>
    <w:p w14:paraId="5AAE0AA2" w14:textId="4B9E5105" w:rsidR="00DA1970" w:rsidRPr="00DA1970" w:rsidRDefault="00DA1970" w:rsidP="00DA1970">
      <w:pPr>
        <w:spacing w:after="0"/>
        <w:rPr>
          <w:rFonts w:ascii="Calibri" w:hAnsi="Calibri"/>
          <w:b/>
          <w:bCs/>
        </w:rPr>
      </w:pPr>
      <w:hyperlink r:id="rId39">
        <w:r w:rsidRPr="00DA1970">
          <w:rPr>
            <w:rFonts w:ascii="Calibri" w:hAnsi="Calibri"/>
            <w:b/>
            <w:bCs/>
            <w:color w:val="0000FF"/>
            <w:u w:val="single"/>
          </w:rPr>
          <w:t>SB 3220 – Consumer Data Privacy (Sen. Rezin)</w:t>
        </w:r>
      </w:hyperlink>
    </w:p>
    <w:p w14:paraId="61DAE229" w14:textId="06C40773" w:rsidR="00DA1970" w:rsidRPr="00DA1970" w:rsidRDefault="00DA1970" w:rsidP="00DA1970">
      <w:pPr>
        <w:rPr>
          <w:rFonts w:ascii="Calibri" w:hAnsi="Calibri"/>
        </w:rPr>
      </w:pPr>
      <w:r w:rsidRPr="00DA1970">
        <w:rPr>
          <w:rFonts w:ascii="Calibri" w:hAnsi="Calibri"/>
        </w:rPr>
        <w:t xml:space="preserve">Summary: Creates </w:t>
      </w:r>
      <w:r w:rsidR="00840901">
        <w:rPr>
          <w:rFonts w:ascii="Calibri" w:hAnsi="Calibri"/>
        </w:rPr>
        <w:t xml:space="preserve">the </w:t>
      </w:r>
      <w:r w:rsidR="00FB1F63">
        <w:rPr>
          <w:rFonts w:ascii="Calibri" w:hAnsi="Calibri"/>
        </w:rPr>
        <w:t xml:space="preserve">Consumer Data Privacy Act, </w:t>
      </w:r>
      <w:r w:rsidR="004F014B">
        <w:rPr>
          <w:rFonts w:ascii="Calibri" w:hAnsi="Calibri"/>
        </w:rPr>
        <w:t>e</w:t>
      </w:r>
      <w:r w:rsidRPr="00DA1970">
        <w:rPr>
          <w:rFonts w:ascii="Calibri" w:hAnsi="Calibri"/>
        </w:rPr>
        <w:t>stablishing obligations for personal data processing, including consumer rights and opt-outs, controller/processor duties, notices, assessments, and enforcement.</w:t>
      </w:r>
    </w:p>
    <w:p w14:paraId="25231BA8" w14:textId="77777777" w:rsidR="00DA1970" w:rsidRPr="00DA1970" w:rsidRDefault="00DA1970" w:rsidP="00DA1970">
      <w:pPr>
        <w:spacing w:after="0"/>
        <w:rPr>
          <w:rFonts w:ascii="Calibri" w:hAnsi="Calibri"/>
        </w:rPr>
      </w:pPr>
      <w:r w:rsidRPr="00DA1970">
        <w:rPr>
          <w:rFonts w:ascii="Calibri" w:hAnsi="Calibri"/>
        </w:rPr>
        <w:t>Key Statutory Provisions:</w:t>
      </w:r>
    </w:p>
    <w:p w14:paraId="2BF8B8E1" w14:textId="43908E14" w:rsidR="00DC7CC6" w:rsidRDefault="00135F22" w:rsidP="00DA1970">
      <w:pPr>
        <w:numPr>
          <w:ilvl w:val="0"/>
          <w:numId w:val="1"/>
        </w:numPr>
        <w:contextualSpacing/>
        <w:rPr>
          <w:rFonts w:ascii="Calibri" w:hAnsi="Calibri"/>
        </w:rPr>
      </w:pPr>
      <w:r w:rsidRPr="00135F22">
        <w:rPr>
          <w:rFonts w:ascii="Calibri" w:hAnsi="Calibri"/>
        </w:rPr>
        <w:t xml:space="preserve">This Act applies to </w:t>
      </w:r>
      <w:r w:rsidR="00CC7BCE" w:rsidRPr="00135F22">
        <w:rPr>
          <w:rFonts w:ascii="Calibri" w:hAnsi="Calibri"/>
        </w:rPr>
        <w:t>people</w:t>
      </w:r>
      <w:r w:rsidRPr="00135F22">
        <w:rPr>
          <w:rFonts w:ascii="Calibri" w:hAnsi="Calibri"/>
        </w:rPr>
        <w:t xml:space="preserve"> that conduct business in </w:t>
      </w:r>
      <w:r>
        <w:rPr>
          <w:rFonts w:ascii="Calibri" w:hAnsi="Calibri"/>
        </w:rPr>
        <w:t>Illinois</w:t>
      </w:r>
      <w:r w:rsidRPr="00135F22">
        <w:rPr>
          <w:rFonts w:ascii="Calibri" w:hAnsi="Calibri"/>
        </w:rPr>
        <w:t xml:space="preserve"> or produce products or services that are targeted to </w:t>
      </w:r>
      <w:r>
        <w:rPr>
          <w:rFonts w:ascii="Calibri" w:hAnsi="Calibri"/>
        </w:rPr>
        <w:t>Illinois</w:t>
      </w:r>
      <w:r w:rsidRPr="00135F22">
        <w:rPr>
          <w:rFonts w:ascii="Calibri" w:hAnsi="Calibri"/>
        </w:rPr>
        <w:t xml:space="preserve"> residents and that during a calendar year control or process personal data of at </w:t>
      </w:r>
      <w:r w:rsidR="00411F00" w:rsidRPr="00135F22">
        <w:rPr>
          <w:rFonts w:ascii="Calibri" w:hAnsi="Calibri"/>
        </w:rPr>
        <w:t>least (</w:t>
      </w:r>
      <w:r w:rsidRPr="00135F22">
        <w:rPr>
          <w:rFonts w:ascii="Calibri" w:hAnsi="Calibri"/>
        </w:rPr>
        <w:t xml:space="preserve">1) 100,000 consumers; or (2) 25,000 consumers and derive over 50% of gross revenue from the sale of personal data. </w:t>
      </w:r>
    </w:p>
    <w:p w14:paraId="58E25D80" w14:textId="77777777" w:rsidR="00135F22" w:rsidRDefault="00135F22" w:rsidP="00135F22">
      <w:pPr>
        <w:numPr>
          <w:ilvl w:val="0"/>
          <w:numId w:val="1"/>
        </w:numPr>
        <w:contextualSpacing/>
        <w:rPr>
          <w:rFonts w:ascii="Calibri" w:hAnsi="Calibri"/>
        </w:rPr>
      </w:pPr>
      <w:r w:rsidRPr="00DA1970">
        <w:rPr>
          <w:rFonts w:ascii="Calibri" w:hAnsi="Calibri"/>
        </w:rPr>
        <w:t>Defines key terms for personal data processing (including sensitive data, sale, targeted advertising, and profiling).</w:t>
      </w:r>
    </w:p>
    <w:p w14:paraId="54A3E638" w14:textId="3E8E46CC" w:rsidR="00DA1970" w:rsidRPr="00DA1970" w:rsidRDefault="00DA1970" w:rsidP="00DA1970">
      <w:pPr>
        <w:numPr>
          <w:ilvl w:val="0"/>
          <w:numId w:val="1"/>
        </w:numPr>
        <w:contextualSpacing/>
        <w:rPr>
          <w:rFonts w:ascii="Calibri" w:hAnsi="Calibri"/>
        </w:rPr>
      </w:pPr>
      <w:r w:rsidRPr="00DA1970">
        <w:rPr>
          <w:rFonts w:ascii="Calibri" w:hAnsi="Calibri"/>
        </w:rPr>
        <w:t>Creates consumer rights and opt-out rights with response timelines and authentication requirements.</w:t>
      </w:r>
    </w:p>
    <w:p w14:paraId="2EC3CF2E" w14:textId="77777777" w:rsidR="00DA1970" w:rsidRPr="00DA1970" w:rsidRDefault="00DA1970" w:rsidP="00DA1970">
      <w:pPr>
        <w:numPr>
          <w:ilvl w:val="0"/>
          <w:numId w:val="1"/>
        </w:numPr>
        <w:contextualSpacing/>
        <w:rPr>
          <w:rFonts w:ascii="Calibri" w:hAnsi="Calibri"/>
        </w:rPr>
      </w:pPr>
      <w:r w:rsidRPr="00DA1970">
        <w:rPr>
          <w:rFonts w:ascii="Calibri" w:hAnsi="Calibri"/>
        </w:rPr>
        <w:t>Requires controller privacy notices and reasonable security practices.</w:t>
      </w:r>
    </w:p>
    <w:p w14:paraId="28EFF393" w14:textId="77777777" w:rsidR="00DA1970" w:rsidRPr="00DA1970" w:rsidRDefault="00DA1970" w:rsidP="00DA1970">
      <w:pPr>
        <w:numPr>
          <w:ilvl w:val="0"/>
          <w:numId w:val="1"/>
        </w:numPr>
        <w:contextualSpacing/>
        <w:rPr>
          <w:rFonts w:ascii="Calibri" w:hAnsi="Calibri"/>
        </w:rPr>
      </w:pPr>
      <w:r w:rsidRPr="00DA1970">
        <w:rPr>
          <w:rFonts w:ascii="Calibri" w:hAnsi="Calibri"/>
        </w:rPr>
        <w:t>Requires processor contract terms and vendor oversight mechanisms.</w:t>
      </w:r>
    </w:p>
    <w:p w14:paraId="18601C68" w14:textId="77777777" w:rsidR="00DA1970" w:rsidRPr="00DA1970" w:rsidRDefault="00DA1970" w:rsidP="00DA1970">
      <w:pPr>
        <w:numPr>
          <w:ilvl w:val="0"/>
          <w:numId w:val="1"/>
        </w:numPr>
        <w:contextualSpacing/>
        <w:rPr>
          <w:rFonts w:ascii="Calibri" w:hAnsi="Calibri"/>
        </w:rPr>
      </w:pPr>
      <w:r w:rsidRPr="00DA1970">
        <w:rPr>
          <w:rFonts w:ascii="Calibri" w:hAnsi="Calibri"/>
        </w:rPr>
        <w:t>Provides enforcement authority and penalties as specified.</w:t>
      </w:r>
    </w:p>
    <w:p w14:paraId="3A2E78A1" w14:textId="77777777" w:rsidR="00DA1970" w:rsidRDefault="00DA1970" w:rsidP="00DA1970">
      <w:pPr>
        <w:numPr>
          <w:ilvl w:val="0"/>
          <w:numId w:val="1"/>
        </w:numPr>
        <w:contextualSpacing/>
        <w:rPr>
          <w:rFonts w:ascii="Calibri" w:hAnsi="Calibri"/>
        </w:rPr>
      </w:pPr>
      <w:r w:rsidRPr="00DA1970">
        <w:rPr>
          <w:rFonts w:ascii="Calibri" w:hAnsi="Calibri"/>
        </w:rPr>
        <w:t>Applies to telecommunications and broadband companies if they meet coverage thresholds; it is not limited solely to telecom/broadband companies and does not expressly exclude them.</w:t>
      </w:r>
    </w:p>
    <w:p w14:paraId="0EC23B9F" w14:textId="77777777" w:rsidR="00DA1970" w:rsidRPr="00DA1970" w:rsidRDefault="00DA1970" w:rsidP="00DA1970">
      <w:pPr>
        <w:contextualSpacing/>
        <w:rPr>
          <w:rFonts w:ascii="Calibri" w:hAnsi="Calibri"/>
        </w:rPr>
      </w:pPr>
    </w:p>
    <w:p w14:paraId="23D690D5" w14:textId="3644CA64" w:rsidR="00DA1970" w:rsidRPr="00DA1970" w:rsidRDefault="00DA1970" w:rsidP="00DA1970">
      <w:pPr>
        <w:spacing w:after="0"/>
        <w:rPr>
          <w:rFonts w:ascii="Calibri" w:hAnsi="Calibri"/>
          <w:b/>
          <w:bCs/>
        </w:rPr>
      </w:pPr>
      <w:hyperlink r:id="rId40">
        <w:r w:rsidRPr="00DA1970">
          <w:rPr>
            <w:rFonts w:ascii="Calibri" w:hAnsi="Calibri"/>
            <w:b/>
            <w:bCs/>
            <w:color w:val="0000FF"/>
            <w:u w:val="single"/>
          </w:rPr>
          <w:t>SB 3262 – Companion A</w:t>
        </w:r>
        <w:r w:rsidR="00052EF3">
          <w:rPr>
            <w:rFonts w:ascii="Calibri" w:hAnsi="Calibri"/>
            <w:b/>
            <w:bCs/>
            <w:color w:val="0000FF"/>
            <w:u w:val="single"/>
          </w:rPr>
          <w:t>I</w:t>
        </w:r>
        <w:r w:rsidRPr="00DA1970">
          <w:rPr>
            <w:rFonts w:ascii="Calibri" w:hAnsi="Calibri"/>
            <w:b/>
            <w:bCs/>
            <w:color w:val="0000FF"/>
            <w:u w:val="single"/>
          </w:rPr>
          <w:t xml:space="preserve"> Protection Act (Sen. Edly-Allen)</w:t>
        </w:r>
      </w:hyperlink>
    </w:p>
    <w:p w14:paraId="797EF4C5" w14:textId="229E83C4" w:rsidR="00DA1970" w:rsidRPr="00DA1970" w:rsidRDefault="00DA1970" w:rsidP="00DA1970">
      <w:pPr>
        <w:rPr>
          <w:rFonts w:ascii="Calibri" w:hAnsi="Calibri"/>
        </w:rPr>
      </w:pPr>
      <w:r w:rsidRPr="00DA1970">
        <w:rPr>
          <w:rFonts w:ascii="Calibri" w:hAnsi="Calibri"/>
        </w:rPr>
        <w:t xml:space="preserve">Summary: Creates </w:t>
      </w:r>
      <w:r w:rsidR="00E72686">
        <w:rPr>
          <w:rFonts w:ascii="Calibri" w:hAnsi="Calibri"/>
        </w:rPr>
        <w:t xml:space="preserve">the </w:t>
      </w:r>
      <w:r w:rsidR="00E72686" w:rsidRPr="00E72686">
        <w:rPr>
          <w:rFonts w:ascii="Calibri" w:hAnsi="Calibri"/>
        </w:rPr>
        <w:t>Companion Artificial Intelligence Protection Act</w:t>
      </w:r>
      <w:r w:rsidR="00E72686">
        <w:rPr>
          <w:rFonts w:ascii="Calibri" w:hAnsi="Calibri"/>
        </w:rPr>
        <w:t xml:space="preserve"> </w:t>
      </w:r>
      <w:r w:rsidR="00C22DE2">
        <w:rPr>
          <w:rFonts w:ascii="Calibri" w:hAnsi="Calibri"/>
        </w:rPr>
        <w:t xml:space="preserve">and prescribes </w:t>
      </w:r>
      <w:r w:rsidRPr="00DA1970">
        <w:rPr>
          <w:rFonts w:ascii="Calibri" w:hAnsi="Calibri"/>
        </w:rPr>
        <w:t>protections and safeguards for companion/relational AI systems, including transparency, safety guardrails, and restrictions on harmful or manipulative functionality in consumer-facing companion AI products.</w:t>
      </w:r>
    </w:p>
    <w:p w14:paraId="16812F04" w14:textId="77777777" w:rsidR="00DA1970" w:rsidRPr="00DA1970" w:rsidRDefault="00DA1970" w:rsidP="00DA1970">
      <w:pPr>
        <w:spacing w:after="0"/>
        <w:rPr>
          <w:rFonts w:ascii="Calibri" w:hAnsi="Calibri"/>
        </w:rPr>
      </w:pPr>
      <w:r w:rsidRPr="00DA1970">
        <w:rPr>
          <w:rFonts w:ascii="Calibri" w:hAnsi="Calibri"/>
        </w:rPr>
        <w:t>Key Statutory Provisions:</w:t>
      </w:r>
    </w:p>
    <w:p w14:paraId="74F57342" w14:textId="77777777" w:rsidR="00DA1970" w:rsidRPr="00DA1970" w:rsidRDefault="00DA1970" w:rsidP="00DA1970">
      <w:pPr>
        <w:numPr>
          <w:ilvl w:val="0"/>
          <w:numId w:val="1"/>
        </w:numPr>
        <w:contextualSpacing/>
        <w:rPr>
          <w:rFonts w:ascii="Calibri" w:hAnsi="Calibri"/>
        </w:rPr>
      </w:pPr>
      <w:r w:rsidRPr="00DA1970">
        <w:rPr>
          <w:rFonts w:ascii="Calibri" w:hAnsi="Calibri"/>
        </w:rPr>
        <w:t>Defines covered companion AI systems and prohibited harmful practices as specified.</w:t>
      </w:r>
    </w:p>
    <w:p w14:paraId="07539DC5" w14:textId="77777777" w:rsidR="00DA1970" w:rsidRPr="00DA1970" w:rsidRDefault="00DA1970" w:rsidP="00DA1970">
      <w:pPr>
        <w:numPr>
          <w:ilvl w:val="0"/>
          <w:numId w:val="1"/>
        </w:numPr>
        <w:contextualSpacing/>
        <w:rPr>
          <w:rFonts w:ascii="Calibri" w:hAnsi="Calibri"/>
        </w:rPr>
      </w:pPr>
      <w:r w:rsidRPr="00DA1970">
        <w:rPr>
          <w:rFonts w:ascii="Calibri" w:hAnsi="Calibri"/>
        </w:rPr>
        <w:t>Requires disclosures that users are interacting with an AI system and disclosures regarding limitations/risks.</w:t>
      </w:r>
    </w:p>
    <w:p w14:paraId="2DD84C89" w14:textId="77777777" w:rsidR="00DA1970" w:rsidRPr="00DA1970" w:rsidRDefault="00DA1970" w:rsidP="00DA1970">
      <w:pPr>
        <w:numPr>
          <w:ilvl w:val="0"/>
          <w:numId w:val="1"/>
        </w:numPr>
        <w:contextualSpacing/>
        <w:rPr>
          <w:rFonts w:ascii="Calibri" w:hAnsi="Calibri"/>
        </w:rPr>
      </w:pPr>
      <w:r w:rsidRPr="00DA1970">
        <w:rPr>
          <w:rFonts w:ascii="Calibri" w:hAnsi="Calibri"/>
        </w:rPr>
        <w:t>Imposes safety-by-design obligations and mitigation requirements for identified risks.</w:t>
      </w:r>
    </w:p>
    <w:p w14:paraId="5DFCDF90" w14:textId="77777777" w:rsidR="00DA1970" w:rsidRPr="00DA1970" w:rsidRDefault="00DA1970" w:rsidP="00DA1970">
      <w:pPr>
        <w:numPr>
          <w:ilvl w:val="0"/>
          <w:numId w:val="1"/>
        </w:numPr>
        <w:contextualSpacing/>
        <w:rPr>
          <w:rFonts w:ascii="Calibri" w:hAnsi="Calibri"/>
        </w:rPr>
      </w:pPr>
      <w:r w:rsidRPr="00DA1970">
        <w:rPr>
          <w:rFonts w:ascii="Calibri" w:hAnsi="Calibri"/>
        </w:rPr>
        <w:t>Provides enforcement mechanisms and penalties for violations.</w:t>
      </w:r>
    </w:p>
    <w:p w14:paraId="3A2A85BC" w14:textId="77777777" w:rsidR="005D589E" w:rsidRDefault="005D589E" w:rsidP="005D589E">
      <w:pPr>
        <w:contextualSpacing/>
        <w:rPr>
          <w:rFonts w:ascii="Calibri" w:hAnsi="Calibri"/>
        </w:rPr>
      </w:pPr>
    </w:p>
    <w:p w14:paraId="6FCBFA33" w14:textId="19C7439E" w:rsidR="00DA1970" w:rsidRPr="001E3507" w:rsidRDefault="00DA1970" w:rsidP="00DA1970">
      <w:pPr>
        <w:spacing w:after="0"/>
        <w:rPr>
          <w:rFonts w:ascii="Calibri" w:hAnsi="Calibri"/>
          <w:b/>
          <w:bCs/>
          <w:color w:val="EE0000"/>
        </w:rPr>
      </w:pPr>
      <w:hyperlink r:id="rId41">
        <w:r w:rsidRPr="001E3507">
          <w:rPr>
            <w:rFonts w:ascii="Calibri" w:hAnsi="Calibri"/>
            <w:b/>
            <w:bCs/>
            <w:color w:val="EE0000"/>
            <w:u w:val="single"/>
          </w:rPr>
          <w:t>SB 3312 – A</w:t>
        </w:r>
        <w:r w:rsidR="00052EF3" w:rsidRPr="001E3507">
          <w:rPr>
            <w:rFonts w:ascii="Calibri" w:hAnsi="Calibri"/>
            <w:b/>
            <w:bCs/>
            <w:color w:val="EE0000"/>
            <w:u w:val="single"/>
          </w:rPr>
          <w:t>I</w:t>
        </w:r>
        <w:r w:rsidRPr="001E3507">
          <w:rPr>
            <w:rFonts w:ascii="Calibri" w:hAnsi="Calibri"/>
            <w:b/>
            <w:bCs/>
            <w:color w:val="EE0000"/>
            <w:u w:val="single"/>
          </w:rPr>
          <w:t xml:space="preserve"> Safety Measures Act (Sen. Edly-Allen)</w:t>
        </w:r>
      </w:hyperlink>
    </w:p>
    <w:p w14:paraId="7F4A6E56" w14:textId="27837CD9" w:rsidR="00DA1970" w:rsidRDefault="00DA1970" w:rsidP="00DA1970">
      <w:pPr>
        <w:rPr>
          <w:rFonts w:ascii="Calibri" w:hAnsi="Calibri"/>
        </w:rPr>
      </w:pPr>
      <w:r w:rsidRPr="00DA1970">
        <w:rPr>
          <w:rFonts w:ascii="Calibri" w:hAnsi="Calibri"/>
        </w:rPr>
        <w:t>Summary: Creates A</w:t>
      </w:r>
      <w:r w:rsidR="00F213EF" w:rsidRPr="00F213EF">
        <w:rPr>
          <w:rFonts w:ascii="Calibri" w:hAnsi="Calibri"/>
        </w:rPr>
        <w:t>rtificial Intelligence Safety Measures Act</w:t>
      </w:r>
      <w:r w:rsidR="00F213EF">
        <w:rPr>
          <w:rFonts w:ascii="Calibri" w:hAnsi="Calibri"/>
        </w:rPr>
        <w:t xml:space="preserve"> </w:t>
      </w:r>
      <w:r w:rsidR="00F167E4">
        <w:rPr>
          <w:rFonts w:ascii="Calibri" w:hAnsi="Calibri"/>
        </w:rPr>
        <w:t>establishing AI</w:t>
      </w:r>
      <w:r w:rsidRPr="00DA1970">
        <w:rPr>
          <w:rFonts w:ascii="Calibri" w:hAnsi="Calibri"/>
        </w:rPr>
        <w:t xml:space="preserve"> safety measures, including governance, evaluation, and risk-mitigation requirements for certain </w:t>
      </w:r>
      <w:r w:rsidR="00C85D34">
        <w:rPr>
          <w:rFonts w:ascii="Calibri" w:hAnsi="Calibri"/>
        </w:rPr>
        <w:t xml:space="preserve">large </w:t>
      </w:r>
      <w:r w:rsidR="00697177">
        <w:rPr>
          <w:rFonts w:ascii="Calibri" w:hAnsi="Calibri"/>
        </w:rPr>
        <w:t xml:space="preserve">frontier artificial intelligence developers </w:t>
      </w:r>
      <w:r w:rsidRPr="00DA1970">
        <w:rPr>
          <w:rFonts w:ascii="Calibri" w:hAnsi="Calibri"/>
        </w:rPr>
        <w:t>and establishes institutional resources to promote safe and ethical AI deployment.</w:t>
      </w:r>
    </w:p>
    <w:p w14:paraId="6577C42A" w14:textId="208C0362" w:rsidR="00DA1970" w:rsidRDefault="00F167E4" w:rsidP="00DA1970">
      <w:pPr>
        <w:spacing w:after="0"/>
        <w:rPr>
          <w:rFonts w:ascii="Calibri" w:hAnsi="Calibri"/>
        </w:rPr>
      </w:pPr>
      <w:r>
        <w:rPr>
          <w:rFonts w:ascii="Calibri" w:hAnsi="Calibri"/>
        </w:rPr>
        <w:t>K</w:t>
      </w:r>
      <w:r w:rsidR="00DA1970" w:rsidRPr="00DA1970">
        <w:rPr>
          <w:rFonts w:ascii="Calibri" w:hAnsi="Calibri"/>
        </w:rPr>
        <w:t>ey Statutory Provisions:</w:t>
      </w:r>
    </w:p>
    <w:p w14:paraId="0F34EF30" w14:textId="77777777" w:rsidR="00F167E4" w:rsidRDefault="00F167E4" w:rsidP="00F167E4">
      <w:pPr>
        <w:pStyle w:val="ListParagraph"/>
        <w:numPr>
          <w:ilvl w:val="0"/>
          <w:numId w:val="24"/>
        </w:numPr>
        <w:rPr>
          <w:rFonts w:ascii="Calibri" w:hAnsi="Calibri"/>
        </w:rPr>
      </w:pPr>
      <w:r w:rsidRPr="00F167E4">
        <w:rPr>
          <w:rFonts w:ascii="Calibri" w:hAnsi="Calibri"/>
        </w:rPr>
        <w:lastRenderedPageBreak/>
        <w:t xml:space="preserve">Requires large frontier artificial intelligence developers to adopt and publish a frontier artificial intelligence framework addressing catastrophic risk management, transparency, and cybersecurity. </w:t>
      </w:r>
    </w:p>
    <w:p w14:paraId="3E18BD17" w14:textId="77777777" w:rsidR="00F167E4" w:rsidRDefault="00F167E4" w:rsidP="00F167E4">
      <w:pPr>
        <w:pStyle w:val="ListParagraph"/>
        <w:numPr>
          <w:ilvl w:val="0"/>
          <w:numId w:val="24"/>
        </w:numPr>
        <w:rPr>
          <w:rFonts w:ascii="Calibri" w:hAnsi="Calibri"/>
        </w:rPr>
      </w:pPr>
      <w:r w:rsidRPr="00F167E4">
        <w:rPr>
          <w:rFonts w:ascii="Calibri" w:hAnsi="Calibri"/>
        </w:rPr>
        <w:t xml:space="preserve">Mandates reporting of critical safety incidents to the Attorney General and establishes civil penalties for noncompliance. </w:t>
      </w:r>
    </w:p>
    <w:p w14:paraId="6A633809" w14:textId="2598272E" w:rsidR="00F167E4" w:rsidRDefault="00F167E4" w:rsidP="00F167E4">
      <w:pPr>
        <w:pStyle w:val="ListParagraph"/>
        <w:numPr>
          <w:ilvl w:val="0"/>
          <w:numId w:val="24"/>
        </w:numPr>
        <w:rPr>
          <w:rFonts w:ascii="Calibri" w:hAnsi="Calibri"/>
        </w:rPr>
      </w:pPr>
      <w:r w:rsidRPr="00F167E4">
        <w:rPr>
          <w:rFonts w:ascii="Calibri" w:hAnsi="Calibri"/>
        </w:rPr>
        <w:t xml:space="preserve">Establishes a consortium within DoIT to develop and operate </w:t>
      </w:r>
      <w:proofErr w:type="spellStart"/>
      <w:r w:rsidRPr="00F167E4">
        <w:rPr>
          <w:rFonts w:ascii="Calibri" w:hAnsi="Calibri"/>
        </w:rPr>
        <w:t>ILCompute</w:t>
      </w:r>
      <w:proofErr w:type="spellEnd"/>
      <w:r w:rsidRPr="00F167E4">
        <w:rPr>
          <w:rFonts w:ascii="Calibri" w:hAnsi="Calibri"/>
        </w:rPr>
        <w:t>, a public artificial intelligence cloud computing resource to support safe, ethical, equitable, and sustainable AI research and deployment in Illinois and includes specified Freedom of Information Act exemptions.</w:t>
      </w:r>
    </w:p>
    <w:p w14:paraId="02CEFB7F" w14:textId="66FC2532" w:rsidR="00DA1970" w:rsidRPr="00DA1970" w:rsidRDefault="00DA1970" w:rsidP="00DA1970">
      <w:pPr>
        <w:spacing w:after="0"/>
        <w:rPr>
          <w:rFonts w:ascii="Calibri" w:hAnsi="Calibri"/>
          <w:b/>
          <w:bCs/>
        </w:rPr>
      </w:pPr>
      <w:hyperlink r:id="rId42">
        <w:r w:rsidRPr="00DA1970">
          <w:rPr>
            <w:rFonts w:ascii="Calibri" w:hAnsi="Calibri"/>
            <w:b/>
            <w:bCs/>
            <w:color w:val="0000FF"/>
            <w:u w:val="single"/>
          </w:rPr>
          <w:t>SB 3384 – A</w:t>
        </w:r>
        <w:r w:rsidR="00052EF3">
          <w:rPr>
            <w:rFonts w:ascii="Calibri" w:hAnsi="Calibri"/>
            <w:b/>
            <w:bCs/>
            <w:color w:val="0000FF"/>
            <w:u w:val="single"/>
          </w:rPr>
          <w:t>I</w:t>
        </w:r>
        <w:r w:rsidRPr="00DA1970">
          <w:rPr>
            <w:rFonts w:ascii="Calibri" w:hAnsi="Calibri"/>
            <w:b/>
            <w:bCs/>
            <w:color w:val="0000FF"/>
            <w:u w:val="single"/>
          </w:rPr>
          <w:t xml:space="preserve"> Companion Model Safety Act (Sen. Ellman)</w:t>
        </w:r>
      </w:hyperlink>
    </w:p>
    <w:p w14:paraId="5992FB9F" w14:textId="1A7B6E6E" w:rsidR="00DA1970" w:rsidRPr="00DA1970" w:rsidRDefault="00DA1970" w:rsidP="00DA1970">
      <w:pPr>
        <w:rPr>
          <w:rFonts w:ascii="Calibri" w:hAnsi="Calibri"/>
        </w:rPr>
      </w:pPr>
      <w:r w:rsidRPr="00DA1970">
        <w:rPr>
          <w:rFonts w:ascii="Calibri" w:hAnsi="Calibri"/>
        </w:rPr>
        <w:t xml:space="preserve">Summary: </w:t>
      </w:r>
      <w:r w:rsidR="00A61B9A">
        <w:rPr>
          <w:rFonts w:ascii="Calibri" w:hAnsi="Calibri"/>
        </w:rPr>
        <w:t xml:space="preserve">Creates the </w:t>
      </w:r>
      <w:r w:rsidR="00A61B9A" w:rsidRPr="00A61B9A">
        <w:rPr>
          <w:rFonts w:ascii="Calibri" w:hAnsi="Calibri"/>
        </w:rPr>
        <w:t>Artificial Intelligence Companion Model Safety Act</w:t>
      </w:r>
      <w:r w:rsidR="00D80718">
        <w:rPr>
          <w:rFonts w:ascii="Calibri" w:hAnsi="Calibri"/>
        </w:rPr>
        <w:t xml:space="preserve"> that e</w:t>
      </w:r>
      <w:r w:rsidRPr="00DA1970">
        <w:rPr>
          <w:rFonts w:ascii="Calibri" w:hAnsi="Calibri"/>
        </w:rPr>
        <w:t>stablishes safety requirements for AI companion models, focusing on risk assessment, guardrails, and disclosures to reduce harm from emotionally engaging or relational AI systems.</w:t>
      </w:r>
    </w:p>
    <w:p w14:paraId="76CBDD59" w14:textId="77777777" w:rsidR="00DA1970" w:rsidRPr="00DA1970" w:rsidRDefault="00DA1970" w:rsidP="00DA1970">
      <w:pPr>
        <w:spacing w:after="0"/>
        <w:rPr>
          <w:rFonts w:ascii="Calibri" w:hAnsi="Calibri"/>
        </w:rPr>
      </w:pPr>
      <w:r w:rsidRPr="00DA1970">
        <w:rPr>
          <w:rFonts w:ascii="Calibri" w:hAnsi="Calibri"/>
        </w:rPr>
        <w:t>Key Statutory Provisions:</w:t>
      </w:r>
    </w:p>
    <w:p w14:paraId="05F7A755" w14:textId="3AF3B0B6" w:rsidR="00DA1970" w:rsidRDefault="00DA1970" w:rsidP="00DA1970">
      <w:pPr>
        <w:numPr>
          <w:ilvl w:val="0"/>
          <w:numId w:val="1"/>
        </w:numPr>
        <w:contextualSpacing/>
        <w:rPr>
          <w:rFonts w:ascii="Calibri" w:hAnsi="Calibri"/>
        </w:rPr>
      </w:pPr>
      <w:r w:rsidRPr="00DA1970">
        <w:rPr>
          <w:rFonts w:ascii="Calibri" w:hAnsi="Calibri"/>
        </w:rPr>
        <w:t xml:space="preserve">Defines </w:t>
      </w:r>
      <w:r w:rsidR="002E4720" w:rsidRPr="002E4720">
        <w:rPr>
          <w:rFonts w:ascii="Calibri" w:hAnsi="Calibri"/>
        </w:rPr>
        <w:t xml:space="preserve">"Artificial intelligence companion" </w:t>
      </w:r>
      <w:r w:rsidR="002E4720">
        <w:rPr>
          <w:rFonts w:ascii="Calibri" w:hAnsi="Calibri"/>
        </w:rPr>
        <w:t xml:space="preserve">as </w:t>
      </w:r>
      <w:r w:rsidR="002E4720" w:rsidRPr="002E4720">
        <w:rPr>
          <w:rFonts w:ascii="Calibri" w:hAnsi="Calibri"/>
        </w:rPr>
        <w:t>a system using artificial intelligence, generative artificial intelligence, or emotional recognition algorithms designed to simulate a sustained human or human-like relationship with a user by: (1) retaining information on prior interactions or user sessions and user preferences to personalize the interaction and facilitate ongoing engagement with the artificial intelligence companion; (2) asking unprompted or unsolicited emotion-based questions that go beyond a direct response to a user prompt; and (3) sustaining an ongoing dialogue concerning matters personal to the user.</w:t>
      </w:r>
    </w:p>
    <w:p w14:paraId="6F424012" w14:textId="3EFE3073" w:rsidR="002E4720" w:rsidRPr="00DA1970" w:rsidRDefault="009D40D9" w:rsidP="00DA1970">
      <w:pPr>
        <w:numPr>
          <w:ilvl w:val="0"/>
          <w:numId w:val="1"/>
        </w:numPr>
        <w:contextualSpacing/>
        <w:rPr>
          <w:rFonts w:ascii="Calibri" w:hAnsi="Calibri"/>
        </w:rPr>
      </w:pPr>
      <w:r>
        <w:rPr>
          <w:rFonts w:ascii="Calibri" w:hAnsi="Calibri"/>
        </w:rPr>
        <w:t xml:space="preserve">Specifies </w:t>
      </w:r>
      <w:r w:rsidRPr="009D40D9">
        <w:rPr>
          <w:rFonts w:ascii="Calibri" w:hAnsi="Calibri"/>
        </w:rPr>
        <w:t>"Artificial intelligence companion" does not include any system that is</w:t>
      </w:r>
      <w:r w:rsidR="00EA33B9" w:rsidRPr="00EA33B9">
        <w:t xml:space="preserve"> </w:t>
      </w:r>
      <w:r w:rsidR="00EA33B9" w:rsidRPr="00EA33B9">
        <w:rPr>
          <w:rFonts w:ascii="Calibri" w:hAnsi="Calibri"/>
        </w:rPr>
        <w:t>(1) used by a business entity solely for customer service or to provide users with information about</w:t>
      </w:r>
      <w:r w:rsidR="00EA33B9">
        <w:rPr>
          <w:rFonts w:ascii="Calibri" w:hAnsi="Calibri"/>
        </w:rPr>
        <w:t xml:space="preserve"> </w:t>
      </w:r>
      <w:r w:rsidR="00EA33B9" w:rsidRPr="00EA33B9">
        <w:rPr>
          <w:rFonts w:ascii="Calibri" w:hAnsi="Calibri"/>
        </w:rPr>
        <w:t>available commercial services or products provided by the entity, customer service account information, or other information strictly related to its customer service; (2) primarily designed and marketed for providing efficiency improvements, assistance; or research, or technical (3) used by a business entity solely for internal purposes or employee productivity.</w:t>
      </w:r>
    </w:p>
    <w:p w14:paraId="08DB0F12" w14:textId="77777777" w:rsidR="00DA1970" w:rsidRPr="00DA1970" w:rsidRDefault="00DA1970" w:rsidP="00DA1970">
      <w:pPr>
        <w:numPr>
          <w:ilvl w:val="0"/>
          <w:numId w:val="1"/>
        </w:numPr>
        <w:contextualSpacing/>
        <w:rPr>
          <w:rFonts w:ascii="Calibri" w:hAnsi="Calibri"/>
        </w:rPr>
      </w:pPr>
      <w:r w:rsidRPr="00DA1970">
        <w:rPr>
          <w:rFonts w:ascii="Calibri" w:hAnsi="Calibri"/>
        </w:rPr>
        <w:t>Requires safety testing and mitigation measures addressing specified risks (e.g., harmful advice, exploitation, manipulation).</w:t>
      </w:r>
    </w:p>
    <w:p w14:paraId="56DDD8F0" w14:textId="14336D86" w:rsidR="00DA1970" w:rsidRPr="00DA1970" w:rsidRDefault="00DA1970" w:rsidP="00DA1970">
      <w:pPr>
        <w:numPr>
          <w:ilvl w:val="0"/>
          <w:numId w:val="1"/>
        </w:numPr>
        <w:contextualSpacing/>
        <w:rPr>
          <w:rFonts w:ascii="Calibri" w:hAnsi="Calibri"/>
        </w:rPr>
      </w:pPr>
      <w:r w:rsidRPr="00DA1970">
        <w:rPr>
          <w:rFonts w:ascii="Calibri" w:hAnsi="Calibri"/>
        </w:rPr>
        <w:t xml:space="preserve">Requires disclosures to users that the system is AI and may be designed for </w:t>
      </w:r>
      <w:r w:rsidR="00910F14" w:rsidRPr="00DA1970">
        <w:rPr>
          <w:rFonts w:ascii="Calibri" w:hAnsi="Calibri"/>
        </w:rPr>
        <w:t>engagement and</w:t>
      </w:r>
      <w:r w:rsidRPr="00DA1970">
        <w:rPr>
          <w:rFonts w:ascii="Calibri" w:hAnsi="Calibri"/>
        </w:rPr>
        <w:t xml:space="preserve"> requires access to safety resources as specified.</w:t>
      </w:r>
    </w:p>
    <w:p w14:paraId="17D86042" w14:textId="77777777" w:rsidR="00DA1970" w:rsidRPr="00DA1970" w:rsidRDefault="00DA1970" w:rsidP="00DA1970">
      <w:pPr>
        <w:numPr>
          <w:ilvl w:val="0"/>
          <w:numId w:val="1"/>
        </w:numPr>
        <w:contextualSpacing/>
        <w:rPr>
          <w:rFonts w:ascii="Calibri" w:hAnsi="Calibri"/>
        </w:rPr>
      </w:pPr>
      <w:r w:rsidRPr="00DA1970">
        <w:rPr>
          <w:rFonts w:ascii="Calibri" w:hAnsi="Calibri"/>
        </w:rPr>
        <w:t>Provides enforcement mechanisms and penalties.</w:t>
      </w:r>
    </w:p>
    <w:p w14:paraId="16A12923" w14:textId="77777777" w:rsidR="00DA1970" w:rsidRPr="00DA1970" w:rsidRDefault="00DA1970" w:rsidP="00DA1970">
      <w:pPr>
        <w:contextualSpacing/>
        <w:rPr>
          <w:rFonts w:ascii="Calibri" w:hAnsi="Calibri"/>
        </w:rPr>
      </w:pPr>
    </w:p>
    <w:p w14:paraId="650D4879" w14:textId="3B39D08E" w:rsidR="00DA1970" w:rsidRPr="00DA1970" w:rsidRDefault="00DA1970" w:rsidP="00DA1970">
      <w:pPr>
        <w:spacing w:after="0"/>
        <w:rPr>
          <w:rFonts w:ascii="Calibri" w:hAnsi="Calibri"/>
          <w:b/>
          <w:bCs/>
        </w:rPr>
      </w:pPr>
      <w:hyperlink r:id="rId43">
        <w:r w:rsidRPr="00DA1970">
          <w:rPr>
            <w:rFonts w:ascii="Calibri" w:hAnsi="Calibri"/>
            <w:b/>
            <w:bCs/>
            <w:color w:val="0000FF"/>
            <w:u w:val="single"/>
          </w:rPr>
          <w:t>SB 3444 – A</w:t>
        </w:r>
        <w:r w:rsidR="00052EF3">
          <w:rPr>
            <w:rFonts w:ascii="Calibri" w:hAnsi="Calibri"/>
            <w:b/>
            <w:bCs/>
            <w:color w:val="0000FF"/>
            <w:u w:val="single"/>
          </w:rPr>
          <w:t>I</w:t>
        </w:r>
        <w:r w:rsidRPr="00DA1970">
          <w:rPr>
            <w:rFonts w:ascii="Calibri" w:hAnsi="Calibri"/>
            <w:b/>
            <w:bCs/>
            <w:color w:val="0000FF"/>
            <w:u w:val="single"/>
          </w:rPr>
          <w:t xml:space="preserve"> Model Safety (Sen. Cunningham)</w:t>
        </w:r>
      </w:hyperlink>
    </w:p>
    <w:p w14:paraId="49A23F98" w14:textId="45CC45E9" w:rsidR="00DA1970" w:rsidRPr="00DA1970" w:rsidRDefault="00DA1970" w:rsidP="00DA1970">
      <w:pPr>
        <w:rPr>
          <w:rFonts w:ascii="Calibri" w:hAnsi="Calibri"/>
        </w:rPr>
      </w:pPr>
      <w:r w:rsidRPr="00DA1970">
        <w:rPr>
          <w:rFonts w:ascii="Calibri" w:hAnsi="Calibri"/>
        </w:rPr>
        <w:t xml:space="preserve">Summary: </w:t>
      </w:r>
      <w:r w:rsidR="009B4A8C" w:rsidRPr="009B4A8C">
        <w:rPr>
          <w:rFonts w:ascii="Calibri" w:hAnsi="Calibri"/>
        </w:rPr>
        <w:t>Creates the Artificial Intelligence Safety Act.</w:t>
      </w:r>
      <w:r w:rsidR="009B4A8C">
        <w:rPr>
          <w:rFonts w:ascii="Calibri" w:hAnsi="Calibri"/>
        </w:rPr>
        <w:t xml:space="preserve"> </w:t>
      </w:r>
      <w:r w:rsidRPr="00DA1970">
        <w:rPr>
          <w:rFonts w:ascii="Calibri" w:hAnsi="Calibri"/>
        </w:rPr>
        <w:t xml:space="preserve">Establishes AI model safety obligations for developers and/or deployers of covered AI models, including evaluation, documentation, and mitigation requirements to reduce foreseeable </w:t>
      </w:r>
      <w:r w:rsidR="00AD3286" w:rsidRPr="00DA1970">
        <w:rPr>
          <w:rFonts w:ascii="Calibri" w:hAnsi="Calibri"/>
        </w:rPr>
        <w:t>harm</w:t>
      </w:r>
      <w:r w:rsidRPr="00DA1970">
        <w:rPr>
          <w:rFonts w:ascii="Calibri" w:hAnsi="Calibri"/>
        </w:rPr>
        <w:t>.</w:t>
      </w:r>
    </w:p>
    <w:p w14:paraId="706E8ACC" w14:textId="77777777" w:rsidR="00DA1970" w:rsidRPr="00DA1970" w:rsidRDefault="00DA1970" w:rsidP="00DA1970">
      <w:pPr>
        <w:spacing w:after="0"/>
        <w:rPr>
          <w:rFonts w:ascii="Calibri" w:hAnsi="Calibri"/>
        </w:rPr>
      </w:pPr>
      <w:r w:rsidRPr="00DA1970">
        <w:rPr>
          <w:rFonts w:ascii="Calibri" w:hAnsi="Calibri"/>
        </w:rPr>
        <w:t>Key Statutory Provisions:</w:t>
      </w:r>
    </w:p>
    <w:p w14:paraId="5BCFB97B" w14:textId="77777777" w:rsidR="00DA1970" w:rsidRPr="00DA1970" w:rsidRDefault="00DA1970" w:rsidP="00DA1970">
      <w:pPr>
        <w:numPr>
          <w:ilvl w:val="0"/>
          <w:numId w:val="1"/>
        </w:numPr>
        <w:contextualSpacing/>
        <w:rPr>
          <w:rFonts w:ascii="Calibri" w:hAnsi="Calibri"/>
        </w:rPr>
      </w:pPr>
      <w:r w:rsidRPr="00DA1970">
        <w:rPr>
          <w:rFonts w:ascii="Calibri" w:hAnsi="Calibri"/>
        </w:rPr>
        <w:lastRenderedPageBreak/>
        <w:t>Defines covered AI models and risk categories subject to safety obligations.</w:t>
      </w:r>
    </w:p>
    <w:p w14:paraId="4B0B89CF" w14:textId="77777777" w:rsidR="00DA1970" w:rsidRPr="00DA1970" w:rsidRDefault="00DA1970" w:rsidP="00DA1970">
      <w:pPr>
        <w:numPr>
          <w:ilvl w:val="0"/>
          <w:numId w:val="1"/>
        </w:numPr>
        <w:contextualSpacing/>
        <w:rPr>
          <w:rFonts w:ascii="Calibri" w:hAnsi="Calibri"/>
        </w:rPr>
      </w:pPr>
      <w:r w:rsidRPr="00DA1970">
        <w:rPr>
          <w:rFonts w:ascii="Calibri" w:hAnsi="Calibri"/>
        </w:rPr>
        <w:t>Requires pre-deployment testing/evaluations and documentation of limitations and known risks.</w:t>
      </w:r>
    </w:p>
    <w:p w14:paraId="14B2BA25" w14:textId="77777777" w:rsidR="00DA1970" w:rsidRPr="00DA1970" w:rsidRDefault="00DA1970" w:rsidP="00DA1970">
      <w:pPr>
        <w:numPr>
          <w:ilvl w:val="0"/>
          <w:numId w:val="1"/>
        </w:numPr>
        <w:contextualSpacing/>
        <w:rPr>
          <w:rFonts w:ascii="Calibri" w:hAnsi="Calibri"/>
        </w:rPr>
      </w:pPr>
      <w:r w:rsidRPr="00DA1970">
        <w:rPr>
          <w:rFonts w:ascii="Calibri" w:hAnsi="Calibri"/>
        </w:rPr>
        <w:t>Requires safeguards and monitoring for foreseeable misuse and harmful outputs.</w:t>
      </w:r>
    </w:p>
    <w:p w14:paraId="279BDF28" w14:textId="77777777" w:rsidR="00DA1970" w:rsidRPr="00DA1970" w:rsidRDefault="00DA1970" w:rsidP="00DA1970">
      <w:pPr>
        <w:numPr>
          <w:ilvl w:val="0"/>
          <w:numId w:val="1"/>
        </w:numPr>
        <w:contextualSpacing/>
        <w:rPr>
          <w:rFonts w:ascii="Calibri" w:hAnsi="Calibri"/>
        </w:rPr>
      </w:pPr>
      <w:r w:rsidRPr="00DA1970">
        <w:rPr>
          <w:rFonts w:ascii="Calibri" w:hAnsi="Calibri"/>
        </w:rPr>
        <w:t>Provides for oversight, reporting, and enforcement, including civil penalties as specified.</w:t>
      </w:r>
    </w:p>
    <w:p w14:paraId="720B3C31" w14:textId="77777777" w:rsidR="00DA1970" w:rsidRDefault="00DA1970" w:rsidP="00DA1970">
      <w:pPr>
        <w:contextualSpacing/>
        <w:rPr>
          <w:rFonts w:ascii="Calibri" w:hAnsi="Calibri"/>
        </w:rPr>
      </w:pPr>
    </w:p>
    <w:p w14:paraId="4700AB9D" w14:textId="068A29E7" w:rsidR="00DA1970" w:rsidRPr="00DA1970" w:rsidRDefault="00DA1970" w:rsidP="00DA1970">
      <w:pPr>
        <w:spacing w:after="0"/>
        <w:rPr>
          <w:rFonts w:ascii="Calibri" w:hAnsi="Calibri"/>
          <w:b/>
          <w:bCs/>
        </w:rPr>
      </w:pPr>
      <w:hyperlink r:id="rId44">
        <w:r w:rsidRPr="00DA1970">
          <w:rPr>
            <w:rFonts w:ascii="Calibri" w:hAnsi="Calibri"/>
            <w:b/>
            <w:bCs/>
            <w:color w:val="0000FF"/>
            <w:u w:val="single"/>
          </w:rPr>
          <w:t>SB 3502 – A</w:t>
        </w:r>
        <w:r w:rsidR="00052EF3">
          <w:rPr>
            <w:rFonts w:ascii="Calibri" w:hAnsi="Calibri"/>
            <w:b/>
            <w:bCs/>
            <w:color w:val="0000FF"/>
            <w:u w:val="single"/>
          </w:rPr>
          <w:t>I</w:t>
        </w:r>
        <w:r w:rsidRPr="00DA1970">
          <w:rPr>
            <w:rFonts w:ascii="Calibri" w:hAnsi="Calibri"/>
            <w:b/>
            <w:bCs/>
            <w:color w:val="0000FF"/>
            <w:u w:val="single"/>
          </w:rPr>
          <w:t xml:space="preserve"> Product Liability Act (Sen. Ventura)</w:t>
        </w:r>
      </w:hyperlink>
    </w:p>
    <w:p w14:paraId="7FC46EB6" w14:textId="26D0B790" w:rsidR="00DA1970" w:rsidRPr="00DA1970" w:rsidRDefault="00DA1970" w:rsidP="00DA1970">
      <w:pPr>
        <w:rPr>
          <w:rFonts w:ascii="Calibri" w:hAnsi="Calibri"/>
        </w:rPr>
      </w:pPr>
      <w:r w:rsidRPr="00DA1970">
        <w:rPr>
          <w:rFonts w:ascii="Calibri" w:hAnsi="Calibri"/>
        </w:rPr>
        <w:t xml:space="preserve">Summary: </w:t>
      </w:r>
      <w:r w:rsidR="009A6839" w:rsidRPr="009A6839">
        <w:rPr>
          <w:rFonts w:ascii="Calibri" w:hAnsi="Calibri"/>
        </w:rPr>
        <w:t>Creates the Artificial Intelligence Design Requirements Act.</w:t>
      </w:r>
      <w:r w:rsidR="009A6839">
        <w:rPr>
          <w:rFonts w:ascii="Calibri" w:hAnsi="Calibri"/>
        </w:rPr>
        <w:t xml:space="preserve"> </w:t>
      </w:r>
      <w:r w:rsidR="00604B0D">
        <w:rPr>
          <w:rFonts w:ascii="Calibri" w:hAnsi="Calibri"/>
        </w:rPr>
        <w:t>E</w:t>
      </w:r>
      <w:r w:rsidRPr="00DA1970">
        <w:rPr>
          <w:rFonts w:ascii="Calibri" w:hAnsi="Calibri"/>
        </w:rPr>
        <w:t>stablish</w:t>
      </w:r>
      <w:r w:rsidR="00604B0D">
        <w:rPr>
          <w:rFonts w:ascii="Calibri" w:hAnsi="Calibri"/>
        </w:rPr>
        <w:t>es</w:t>
      </w:r>
      <w:r w:rsidRPr="00DA1970">
        <w:rPr>
          <w:rFonts w:ascii="Calibri" w:hAnsi="Calibri"/>
        </w:rPr>
        <w:t xml:space="preserve"> liability standards for harm caused by AI products/systems, including allocation of responsibility among developers, deployers, and sellers, and providing civil remedies.</w:t>
      </w:r>
    </w:p>
    <w:p w14:paraId="2DD843AA" w14:textId="77777777" w:rsidR="00DA1970" w:rsidRPr="00DA1970" w:rsidRDefault="00DA1970" w:rsidP="00DA1970">
      <w:pPr>
        <w:spacing w:after="0"/>
        <w:rPr>
          <w:rFonts w:ascii="Calibri" w:hAnsi="Calibri"/>
        </w:rPr>
      </w:pPr>
      <w:r w:rsidRPr="00DA1970">
        <w:rPr>
          <w:rFonts w:ascii="Calibri" w:hAnsi="Calibri"/>
        </w:rPr>
        <w:t>Key Statutory Provisions:</w:t>
      </w:r>
    </w:p>
    <w:p w14:paraId="5CA89ADC" w14:textId="77777777" w:rsidR="00DA1970" w:rsidRPr="00DA1970" w:rsidRDefault="00DA1970" w:rsidP="00DA1970">
      <w:pPr>
        <w:numPr>
          <w:ilvl w:val="0"/>
          <w:numId w:val="1"/>
        </w:numPr>
        <w:contextualSpacing/>
        <w:rPr>
          <w:rFonts w:ascii="Calibri" w:hAnsi="Calibri"/>
        </w:rPr>
      </w:pPr>
      <w:r w:rsidRPr="00DA1970">
        <w:rPr>
          <w:rFonts w:ascii="Calibri" w:hAnsi="Calibri"/>
        </w:rPr>
        <w:t>Defines AI product/system and responsible parties (developer, deployer, distributor) as specified.</w:t>
      </w:r>
    </w:p>
    <w:p w14:paraId="4B49DC69" w14:textId="77777777" w:rsidR="00DA1970" w:rsidRPr="00DA1970" w:rsidRDefault="00DA1970" w:rsidP="00DA1970">
      <w:pPr>
        <w:numPr>
          <w:ilvl w:val="0"/>
          <w:numId w:val="1"/>
        </w:numPr>
        <w:contextualSpacing/>
        <w:rPr>
          <w:rFonts w:ascii="Calibri" w:hAnsi="Calibri"/>
        </w:rPr>
      </w:pPr>
      <w:r w:rsidRPr="00DA1970">
        <w:rPr>
          <w:rFonts w:ascii="Calibri" w:hAnsi="Calibri"/>
        </w:rPr>
        <w:t>Establishes liability standards for harms caused by AI products, including elements of a claim and causation standards as provided.</w:t>
      </w:r>
    </w:p>
    <w:p w14:paraId="6B9996F6" w14:textId="77777777" w:rsidR="00DA1970" w:rsidRPr="00DA1970" w:rsidRDefault="00DA1970" w:rsidP="00DA1970">
      <w:pPr>
        <w:numPr>
          <w:ilvl w:val="0"/>
          <w:numId w:val="1"/>
        </w:numPr>
        <w:contextualSpacing/>
        <w:rPr>
          <w:rFonts w:ascii="Calibri" w:hAnsi="Calibri"/>
        </w:rPr>
      </w:pPr>
      <w:r w:rsidRPr="00DA1970">
        <w:rPr>
          <w:rFonts w:ascii="Calibri" w:hAnsi="Calibri"/>
        </w:rPr>
        <w:t>Provides defenses/limitations or safe harbors tied to compliance with specified safeguards, as applicable.</w:t>
      </w:r>
    </w:p>
    <w:p w14:paraId="7E414E01" w14:textId="77777777" w:rsidR="00DA1970" w:rsidRPr="00DA1970" w:rsidRDefault="00DA1970" w:rsidP="00DA1970">
      <w:pPr>
        <w:numPr>
          <w:ilvl w:val="0"/>
          <w:numId w:val="1"/>
        </w:numPr>
        <w:contextualSpacing/>
        <w:rPr>
          <w:rFonts w:ascii="Calibri" w:hAnsi="Calibri"/>
        </w:rPr>
      </w:pPr>
      <w:r w:rsidRPr="00DA1970">
        <w:rPr>
          <w:rFonts w:ascii="Calibri" w:hAnsi="Calibri"/>
        </w:rPr>
        <w:t>Creates a private right of action and specifies available remedies and damages.</w:t>
      </w:r>
    </w:p>
    <w:p w14:paraId="1145C49D" w14:textId="77777777" w:rsidR="00DA1970" w:rsidRPr="00DA1970" w:rsidRDefault="00DA1970" w:rsidP="00DA1970">
      <w:pPr>
        <w:contextualSpacing/>
        <w:rPr>
          <w:rFonts w:ascii="Calibri" w:hAnsi="Calibri"/>
        </w:rPr>
      </w:pPr>
    </w:p>
    <w:p w14:paraId="6BEB1E1C" w14:textId="77777777" w:rsidR="00DA1970" w:rsidRPr="00DA1970" w:rsidRDefault="00DA1970" w:rsidP="00DA1970">
      <w:pPr>
        <w:spacing w:after="0"/>
        <w:rPr>
          <w:rFonts w:ascii="Calibri" w:hAnsi="Calibri"/>
          <w:b/>
          <w:bCs/>
        </w:rPr>
      </w:pPr>
      <w:hyperlink r:id="rId45">
        <w:r w:rsidRPr="00DA1970">
          <w:rPr>
            <w:rFonts w:ascii="Calibri" w:hAnsi="Calibri"/>
            <w:b/>
            <w:bCs/>
            <w:color w:val="0000FF"/>
            <w:u w:val="single"/>
          </w:rPr>
          <w:t>SB 3548 – Consumer Data Privacy Act (Sen. Rezin)</w:t>
        </w:r>
      </w:hyperlink>
    </w:p>
    <w:p w14:paraId="189B7479" w14:textId="77777777" w:rsidR="002764BC" w:rsidRPr="002764BC" w:rsidRDefault="002764BC" w:rsidP="002764BC">
      <w:pPr>
        <w:contextualSpacing/>
        <w:rPr>
          <w:rFonts w:ascii="Calibri" w:hAnsi="Calibri"/>
        </w:rPr>
      </w:pPr>
      <w:r w:rsidRPr="002764BC">
        <w:rPr>
          <w:rFonts w:ascii="Calibri" w:hAnsi="Calibri"/>
        </w:rPr>
        <w:t>Summary: Creates the Consumer Data Privacy Act, establishing obligations for personal data processing, including consumer rights and opt-outs, controller/processor duties, notices, assessments, and enforcement.</w:t>
      </w:r>
    </w:p>
    <w:p w14:paraId="1ED0026D" w14:textId="77777777" w:rsidR="002764BC" w:rsidRPr="002764BC" w:rsidRDefault="002764BC" w:rsidP="002764BC">
      <w:pPr>
        <w:contextualSpacing/>
        <w:rPr>
          <w:rFonts w:ascii="Calibri" w:hAnsi="Calibri"/>
        </w:rPr>
      </w:pPr>
      <w:r w:rsidRPr="002764BC">
        <w:rPr>
          <w:rFonts w:ascii="Calibri" w:hAnsi="Calibri"/>
        </w:rPr>
        <w:t>Key Statutory Provisions:</w:t>
      </w:r>
    </w:p>
    <w:p w14:paraId="2CF9D97A" w14:textId="77777777" w:rsidR="002764BC" w:rsidRPr="002764BC" w:rsidRDefault="002764BC" w:rsidP="002764BC">
      <w:pPr>
        <w:numPr>
          <w:ilvl w:val="0"/>
          <w:numId w:val="1"/>
        </w:numPr>
        <w:contextualSpacing/>
        <w:rPr>
          <w:rFonts w:ascii="Calibri" w:hAnsi="Calibri"/>
        </w:rPr>
      </w:pPr>
      <w:r w:rsidRPr="002764BC">
        <w:rPr>
          <w:rFonts w:ascii="Calibri" w:hAnsi="Calibri"/>
        </w:rPr>
        <w:t xml:space="preserve">This Act applies to people that conduct business in Illinois or produce products or services that are targeted to Illinois residents and that during a calendar year control or process personal data of at least (1) 100,000 consumers; or (2) 25,000 consumers and derive over 50% of gross revenue from the sale of personal data. </w:t>
      </w:r>
    </w:p>
    <w:p w14:paraId="0818FAE9" w14:textId="77777777" w:rsidR="002764BC" w:rsidRPr="002764BC" w:rsidRDefault="002764BC" w:rsidP="002764BC">
      <w:pPr>
        <w:numPr>
          <w:ilvl w:val="0"/>
          <w:numId w:val="1"/>
        </w:numPr>
        <w:contextualSpacing/>
        <w:rPr>
          <w:rFonts w:ascii="Calibri" w:hAnsi="Calibri"/>
        </w:rPr>
      </w:pPr>
      <w:r w:rsidRPr="002764BC">
        <w:rPr>
          <w:rFonts w:ascii="Calibri" w:hAnsi="Calibri"/>
        </w:rPr>
        <w:t>Defines key terms for personal data processing (including sensitive data, sale, targeted advertising, and profiling).</w:t>
      </w:r>
    </w:p>
    <w:p w14:paraId="415E6B1A" w14:textId="77777777" w:rsidR="002764BC" w:rsidRPr="002764BC" w:rsidRDefault="002764BC" w:rsidP="002764BC">
      <w:pPr>
        <w:numPr>
          <w:ilvl w:val="0"/>
          <w:numId w:val="1"/>
        </w:numPr>
        <w:contextualSpacing/>
        <w:rPr>
          <w:rFonts w:ascii="Calibri" w:hAnsi="Calibri"/>
        </w:rPr>
      </w:pPr>
      <w:r w:rsidRPr="002764BC">
        <w:rPr>
          <w:rFonts w:ascii="Calibri" w:hAnsi="Calibri"/>
        </w:rPr>
        <w:t>Creates consumer rights and opt-out rights with response timelines and authentication requirements.</w:t>
      </w:r>
    </w:p>
    <w:p w14:paraId="5E3F8F99" w14:textId="77777777" w:rsidR="002764BC" w:rsidRPr="002764BC" w:rsidRDefault="002764BC" w:rsidP="002764BC">
      <w:pPr>
        <w:numPr>
          <w:ilvl w:val="0"/>
          <w:numId w:val="1"/>
        </w:numPr>
        <w:contextualSpacing/>
        <w:rPr>
          <w:rFonts w:ascii="Calibri" w:hAnsi="Calibri"/>
        </w:rPr>
      </w:pPr>
      <w:r w:rsidRPr="002764BC">
        <w:rPr>
          <w:rFonts w:ascii="Calibri" w:hAnsi="Calibri"/>
        </w:rPr>
        <w:t>Requires controller privacy notices and reasonable security practices.</w:t>
      </w:r>
    </w:p>
    <w:p w14:paraId="4774C18A" w14:textId="3C8FE538" w:rsidR="002764BC" w:rsidRPr="002764BC" w:rsidRDefault="002764BC" w:rsidP="002764BC">
      <w:pPr>
        <w:numPr>
          <w:ilvl w:val="0"/>
          <w:numId w:val="1"/>
        </w:numPr>
        <w:contextualSpacing/>
        <w:rPr>
          <w:rFonts w:ascii="Calibri" w:hAnsi="Calibri"/>
        </w:rPr>
      </w:pPr>
      <w:r w:rsidRPr="002764BC">
        <w:rPr>
          <w:rFonts w:ascii="Calibri" w:hAnsi="Calibri"/>
        </w:rPr>
        <w:t>Require</w:t>
      </w:r>
      <w:r>
        <w:rPr>
          <w:rFonts w:ascii="Calibri" w:hAnsi="Calibri"/>
        </w:rPr>
        <w:t>s</w:t>
      </w:r>
      <w:r w:rsidRPr="002764BC">
        <w:rPr>
          <w:rFonts w:ascii="Calibri" w:hAnsi="Calibri"/>
        </w:rPr>
        <w:t xml:space="preserve"> processor contract terms and vendor oversight mechanisms.</w:t>
      </w:r>
    </w:p>
    <w:p w14:paraId="6531A69E" w14:textId="77777777" w:rsidR="002764BC" w:rsidRPr="002764BC" w:rsidRDefault="002764BC" w:rsidP="002764BC">
      <w:pPr>
        <w:numPr>
          <w:ilvl w:val="0"/>
          <w:numId w:val="1"/>
        </w:numPr>
        <w:contextualSpacing/>
        <w:rPr>
          <w:rFonts w:ascii="Calibri" w:hAnsi="Calibri"/>
        </w:rPr>
      </w:pPr>
      <w:r w:rsidRPr="002764BC">
        <w:rPr>
          <w:rFonts w:ascii="Calibri" w:hAnsi="Calibri"/>
        </w:rPr>
        <w:t>Provides enforcement authority and penalties as specified.</w:t>
      </w:r>
    </w:p>
    <w:p w14:paraId="3CD1F349" w14:textId="77777777" w:rsidR="002764BC" w:rsidRPr="002764BC" w:rsidRDefault="002764BC" w:rsidP="002764BC">
      <w:pPr>
        <w:numPr>
          <w:ilvl w:val="0"/>
          <w:numId w:val="1"/>
        </w:numPr>
        <w:contextualSpacing/>
        <w:rPr>
          <w:rFonts w:ascii="Calibri" w:hAnsi="Calibri"/>
        </w:rPr>
      </w:pPr>
      <w:r w:rsidRPr="002764BC">
        <w:rPr>
          <w:rFonts w:ascii="Calibri" w:hAnsi="Calibri"/>
        </w:rPr>
        <w:t>Applies to telecommunications and broadband companies if they meet coverage thresholds; it is not limited solely to telecom/broadband companies and does not expressly exclude them.</w:t>
      </w:r>
    </w:p>
    <w:p w14:paraId="25074D46" w14:textId="77777777" w:rsidR="00DA1970" w:rsidRPr="00DA1970" w:rsidRDefault="00DA1970" w:rsidP="00DA1970">
      <w:pPr>
        <w:contextualSpacing/>
        <w:rPr>
          <w:rFonts w:ascii="Calibri" w:hAnsi="Calibri"/>
        </w:rPr>
      </w:pPr>
    </w:p>
    <w:p w14:paraId="33923E79" w14:textId="77777777" w:rsidR="00B76BE2" w:rsidRDefault="00B76BE2" w:rsidP="00DA1970">
      <w:pPr>
        <w:spacing w:after="0"/>
      </w:pPr>
    </w:p>
    <w:p w14:paraId="442B06EF" w14:textId="24C1A2E0" w:rsidR="00DA1970" w:rsidRPr="00DA1970" w:rsidRDefault="00DA1970" w:rsidP="00DA1970">
      <w:pPr>
        <w:spacing w:after="0"/>
        <w:rPr>
          <w:rFonts w:ascii="Calibri" w:hAnsi="Calibri"/>
          <w:b/>
          <w:bCs/>
        </w:rPr>
      </w:pPr>
      <w:hyperlink r:id="rId46">
        <w:r w:rsidRPr="00DA1970">
          <w:rPr>
            <w:rFonts w:ascii="Calibri" w:hAnsi="Calibri"/>
            <w:b/>
            <w:bCs/>
            <w:color w:val="0000FF"/>
            <w:u w:val="single"/>
          </w:rPr>
          <w:t>SB 3590 – A</w:t>
        </w:r>
        <w:r w:rsidR="00052EF3">
          <w:rPr>
            <w:rFonts w:ascii="Calibri" w:hAnsi="Calibri"/>
            <w:b/>
            <w:bCs/>
            <w:color w:val="0000FF"/>
            <w:u w:val="single"/>
          </w:rPr>
          <w:t>I</w:t>
        </w:r>
        <w:r w:rsidRPr="00DA1970">
          <w:rPr>
            <w:rFonts w:ascii="Calibri" w:hAnsi="Calibri"/>
            <w:b/>
            <w:bCs/>
            <w:color w:val="0000FF"/>
            <w:u w:val="single"/>
          </w:rPr>
          <w:t xml:space="preserve"> Product Liability Act (Sen. Edly-Allen)</w:t>
        </w:r>
      </w:hyperlink>
    </w:p>
    <w:p w14:paraId="68DA4AB2" w14:textId="470868D6" w:rsidR="00C869D6" w:rsidRPr="00DA1970" w:rsidRDefault="00DA1970" w:rsidP="00C869D6">
      <w:pPr>
        <w:rPr>
          <w:rFonts w:ascii="Calibri" w:hAnsi="Calibri"/>
        </w:rPr>
      </w:pPr>
      <w:r w:rsidRPr="00DA1970">
        <w:rPr>
          <w:rFonts w:ascii="Calibri" w:hAnsi="Calibri"/>
        </w:rPr>
        <w:t xml:space="preserve">Summary: Creates </w:t>
      </w:r>
      <w:r w:rsidR="00E262D9" w:rsidRPr="00E262D9">
        <w:rPr>
          <w:rFonts w:ascii="Calibri" w:hAnsi="Calibri"/>
        </w:rPr>
        <w:t>the Artificial Intelligence Product Liability Act</w:t>
      </w:r>
      <w:r w:rsidR="00E262D9">
        <w:rPr>
          <w:rFonts w:ascii="Calibri" w:hAnsi="Calibri"/>
        </w:rPr>
        <w:t xml:space="preserve"> </w:t>
      </w:r>
      <w:r w:rsidRPr="00DA1970">
        <w:rPr>
          <w:rFonts w:ascii="Calibri" w:hAnsi="Calibri"/>
        </w:rPr>
        <w:t>establishing civil liability standards for harm caused by AI systems and AI-enabled products, including claims, remedies, and allocation of responsibility among responsible parties.</w:t>
      </w:r>
      <w:r w:rsidR="00C869D6" w:rsidRPr="00C869D6">
        <w:rPr>
          <w:rFonts w:ascii="Calibri" w:hAnsi="Calibri"/>
        </w:rPr>
        <w:t xml:space="preserve"> </w:t>
      </w:r>
    </w:p>
    <w:p w14:paraId="197071B9" w14:textId="77777777" w:rsidR="00C869D6" w:rsidRPr="00DA1970" w:rsidRDefault="00C869D6" w:rsidP="00C869D6">
      <w:pPr>
        <w:spacing w:after="0"/>
        <w:rPr>
          <w:rFonts w:ascii="Calibri" w:hAnsi="Calibri"/>
        </w:rPr>
      </w:pPr>
      <w:r w:rsidRPr="00DA1970">
        <w:rPr>
          <w:rFonts w:ascii="Calibri" w:hAnsi="Calibri"/>
        </w:rPr>
        <w:t>Key Statutory Provisions:</w:t>
      </w:r>
    </w:p>
    <w:p w14:paraId="09C77EA2" w14:textId="77777777" w:rsidR="00C869D6" w:rsidRPr="00DA1970" w:rsidRDefault="00C869D6" w:rsidP="00C869D6">
      <w:pPr>
        <w:numPr>
          <w:ilvl w:val="0"/>
          <w:numId w:val="1"/>
        </w:numPr>
        <w:contextualSpacing/>
        <w:rPr>
          <w:rFonts w:ascii="Calibri" w:hAnsi="Calibri"/>
        </w:rPr>
      </w:pPr>
      <w:r w:rsidRPr="00DA1970">
        <w:rPr>
          <w:rFonts w:ascii="Calibri" w:hAnsi="Calibri"/>
        </w:rPr>
        <w:t>Defines AI product/system and responsible parties (developer, deployer, distributor) as specified.</w:t>
      </w:r>
    </w:p>
    <w:p w14:paraId="4551B7B6" w14:textId="77777777" w:rsidR="00C869D6" w:rsidRPr="00DA1970" w:rsidRDefault="00C869D6" w:rsidP="00C869D6">
      <w:pPr>
        <w:numPr>
          <w:ilvl w:val="0"/>
          <w:numId w:val="1"/>
        </w:numPr>
        <w:contextualSpacing/>
        <w:rPr>
          <w:rFonts w:ascii="Calibri" w:hAnsi="Calibri"/>
        </w:rPr>
      </w:pPr>
      <w:r w:rsidRPr="00DA1970">
        <w:rPr>
          <w:rFonts w:ascii="Calibri" w:hAnsi="Calibri"/>
        </w:rPr>
        <w:t>Establishes liability standards for harms caused by AI products, including elements of a claim and causation standards as provided.</w:t>
      </w:r>
    </w:p>
    <w:p w14:paraId="6B01970F" w14:textId="77777777" w:rsidR="00C869D6" w:rsidRPr="00DA1970" w:rsidRDefault="00C869D6" w:rsidP="00C869D6">
      <w:pPr>
        <w:numPr>
          <w:ilvl w:val="0"/>
          <w:numId w:val="1"/>
        </w:numPr>
        <w:contextualSpacing/>
        <w:rPr>
          <w:rFonts w:ascii="Calibri" w:hAnsi="Calibri"/>
        </w:rPr>
      </w:pPr>
      <w:r w:rsidRPr="00DA1970">
        <w:rPr>
          <w:rFonts w:ascii="Calibri" w:hAnsi="Calibri"/>
        </w:rPr>
        <w:t>Provides defenses/limitations or safe harbors tied to compliance with specified safeguards, as applicable.</w:t>
      </w:r>
    </w:p>
    <w:p w14:paraId="370D0167" w14:textId="77777777" w:rsidR="00C869D6" w:rsidRPr="00DA1970" w:rsidRDefault="00C869D6" w:rsidP="00C869D6">
      <w:pPr>
        <w:numPr>
          <w:ilvl w:val="0"/>
          <w:numId w:val="1"/>
        </w:numPr>
        <w:contextualSpacing/>
        <w:rPr>
          <w:rFonts w:ascii="Calibri" w:hAnsi="Calibri"/>
        </w:rPr>
      </w:pPr>
      <w:r w:rsidRPr="00DA1970">
        <w:rPr>
          <w:rFonts w:ascii="Calibri" w:hAnsi="Calibri"/>
        </w:rPr>
        <w:t>Creates a private right of action and specifies available remedies and damages.</w:t>
      </w:r>
    </w:p>
    <w:p w14:paraId="4919919E" w14:textId="77777777" w:rsidR="00680B2F" w:rsidRDefault="00680B2F" w:rsidP="00DA1970">
      <w:pPr>
        <w:spacing w:after="0"/>
        <w:rPr>
          <w:rFonts w:ascii="Calibri" w:hAnsi="Calibri"/>
        </w:rPr>
      </w:pPr>
    </w:p>
    <w:p w14:paraId="1E252DFF" w14:textId="0C6CE854" w:rsidR="00DA1970" w:rsidRPr="00DA1970" w:rsidRDefault="00DA1970" w:rsidP="00DA1970">
      <w:pPr>
        <w:spacing w:after="0"/>
        <w:rPr>
          <w:rFonts w:ascii="Calibri" w:hAnsi="Calibri"/>
          <w:b/>
          <w:bCs/>
        </w:rPr>
      </w:pPr>
      <w:hyperlink r:id="rId47">
        <w:r w:rsidRPr="00DA1970">
          <w:rPr>
            <w:rFonts w:ascii="Calibri" w:hAnsi="Calibri"/>
            <w:b/>
            <w:bCs/>
            <w:color w:val="0000FF"/>
            <w:u w:val="single"/>
          </w:rPr>
          <w:t>SB 3603 – Consumers–Data Processing (Sen. Stadelman)</w:t>
        </w:r>
      </w:hyperlink>
    </w:p>
    <w:p w14:paraId="136263DC" w14:textId="77777777" w:rsidR="00DA1970" w:rsidRPr="00DA1970" w:rsidRDefault="00DA1970" w:rsidP="00DA1970">
      <w:pPr>
        <w:rPr>
          <w:rFonts w:ascii="Calibri" w:hAnsi="Calibri"/>
        </w:rPr>
      </w:pPr>
      <w:r w:rsidRPr="00DA1970">
        <w:rPr>
          <w:rFonts w:ascii="Calibri" w:hAnsi="Calibri"/>
        </w:rPr>
        <w:t>Summary: Establishes consumer protections regarding personal data processing, potentially including rights, opt-outs, transparency obligations, and restrictions on specified data processing practices, with enforcement provisions.</w:t>
      </w:r>
    </w:p>
    <w:p w14:paraId="409DA8B1" w14:textId="77777777" w:rsidR="00DA1970" w:rsidRPr="00DA1970" w:rsidRDefault="00DA1970" w:rsidP="00DA1970">
      <w:pPr>
        <w:spacing w:after="0"/>
        <w:rPr>
          <w:rFonts w:ascii="Calibri" w:hAnsi="Calibri"/>
        </w:rPr>
      </w:pPr>
      <w:r w:rsidRPr="00DA1970">
        <w:rPr>
          <w:rFonts w:ascii="Calibri" w:hAnsi="Calibri"/>
        </w:rPr>
        <w:t>Key Statutory Provisions:</w:t>
      </w:r>
    </w:p>
    <w:p w14:paraId="7B5D69DC" w14:textId="77777777" w:rsidR="00DA1970" w:rsidRDefault="00DA1970" w:rsidP="00DA1970">
      <w:pPr>
        <w:numPr>
          <w:ilvl w:val="0"/>
          <w:numId w:val="1"/>
        </w:numPr>
        <w:contextualSpacing/>
        <w:rPr>
          <w:rFonts w:ascii="Calibri" w:hAnsi="Calibri"/>
        </w:rPr>
      </w:pPr>
      <w:r w:rsidRPr="00DA1970">
        <w:rPr>
          <w:rFonts w:ascii="Calibri" w:hAnsi="Calibri"/>
        </w:rPr>
        <w:t>Defines covered personal data processing activities and regulated entities/actors.</w:t>
      </w:r>
    </w:p>
    <w:p w14:paraId="4367F0AB" w14:textId="77777777" w:rsidR="00880BFD" w:rsidRDefault="0083259E" w:rsidP="00DA1970">
      <w:pPr>
        <w:numPr>
          <w:ilvl w:val="0"/>
          <w:numId w:val="1"/>
        </w:numPr>
        <w:contextualSpacing/>
        <w:rPr>
          <w:rFonts w:ascii="Calibri" w:hAnsi="Calibri"/>
        </w:rPr>
      </w:pPr>
      <w:r>
        <w:rPr>
          <w:rFonts w:ascii="Calibri" w:hAnsi="Calibri"/>
        </w:rPr>
        <w:t>A</w:t>
      </w:r>
      <w:r w:rsidRPr="0083259E">
        <w:rPr>
          <w:rFonts w:ascii="Calibri" w:hAnsi="Calibri"/>
        </w:rPr>
        <w:t>pplies to legal entities that conduct business in this State or produce products or services that are</w:t>
      </w:r>
      <w:r>
        <w:rPr>
          <w:rFonts w:ascii="Calibri" w:hAnsi="Calibri"/>
        </w:rPr>
        <w:t xml:space="preserve"> </w:t>
      </w:r>
      <w:r w:rsidRPr="0083259E">
        <w:rPr>
          <w:rFonts w:ascii="Calibri" w:hAnsi="Calibri"/>
        </w:rPr>
        <w:t>targeted</w:t>
      </w:r>
      <w:r>
        <w:rPr>
          <w:rFonts w:ascii="Calibri" w:hAnsi="Calibri"/>
        </w:rPr>
        <w:t xml:space="preserve"> </w:t>
      </w:r>
      <w:r w:rsidRPr="0083259E">
        <w:rPr>
          <w:rFonts w:ascii="Calibri" w:hAnsi="Calibri"/>
        </w:rPr>
        <w:t>to</w:t>
      </w:r>
      <w:r>
        <w:rPr>
          <w:rFonts w:ascii="Calibri" w:hAnsi="Calibri"/>
        </w:rPr>
        <w:t xml:space="preserve"> </w:t>
      </w:r>
      <w:r w:rsidRPr="0083259E">
        <w:rPr>
          <w:rFonts w:ascii="Calibri" w:hAnsi="Calibri"/>
        </w:rPr>
        <w:t>residents</w:t>
      </w:r>
      <w:r>
        <w:rPr>
          <w:rFonts w:ascii="Calibri" w:hAnsi="Calibri"/>
        </w:rPr>
        <w:t xml:space="preserve"> </w:t>
      </w:r>
      <w:r w:rsidRPr="0083259E">
        <w:rPr>
          <w:rFonts w:ascii="Calibri" w:hAnsi="Calibri"/>
        </w:rPr>
        <w:t>of</w:t>
      </w:r>
      <w:r>
        <w:rPr>
          <w:rFonts w:ascii="Calibri" w:hAnsi="Calibri"/>
        </w:rPr>
        <w:t xml:space="preserve"> Illinois</w:t>
      </w:r>
      <w:r w:rsidRPr="0083259E">
        <w:rPr>
          <w:rFonts w:ascii="Calibri" w:hAnsi="Calibri"/>
        </w:rPr>
        <w:t>,</w:t>
      </w:r>
      <w:r>
        <w:rPr>
          <w:rFonts w:ascii="Calibri" w:hAnsi="Calibri"/>
        </w:rPr>
        <w:t xml:space="preserve"> </w:t>
      </w:r>
      <w:r w:rsidRPr="0083259E">
        <w:rPr>
          <w:rFonts w:ascii="Calibri" w:hAnsi="Calibri"/>
        </w:rPr>
        <w:t>and</w:t>
      </w:r>
      <w:r>
        <w:rPr>
          <w:rFonts w:ascii="Calibri" w:hAnsi="Calibri"/>
        </w:rPr>
        <w:t xml:space="preserve"> </w:t>
      </w:r>
      <w:r w:rsidRPr="0083259E">
        <w:rPr>
          <w:rFonts w:ascii="Calibri" w:hAnsi="Calibri"/>
        </w:rPr>
        <w:t>that: (1) during a calendar year, control or process personal data of 100,000 consumers or more, excluding personal data controlled or processed solely for the purpose</w:t>
      </w:r>
      <w:r>
        <w:rPr>
          <w:rFonts w:ascii="Calibri" w:hAnsi="Calibri"/>
        </w:rPr>
        <w:t xml:space="preserve"> </w:t>
      </w:r>
      <w:r w:rsidRPr="0083259E">
        <w:rPr>
          <w:rFonts w:ascii="Calibri" w:hAnsi="Calibri"/>
        </w:rPr>
        <w:t>of</w:t>
      </w:r>
      <w:r>
        <w:rPr>
          <w:rFonts w:ascii="Calibri" w:hAnsi="Calibri"/>
        </w:rPr>
        <w:t xml:space="preserve"> </w:t>
      </w:r>
      <w:r w:rsidRPr="0083259E">
        <w:rPr>
          <w:rFonts w:ascii="Calibri" w:hAnsi="Calibri"/>
        </w:rPr>
        <w:t>completing</w:t>
      </w:r>
      <w:r>
        <w:rPr>
          <w:rFonts w:ascii="Calibri" w:hAnsi="Calibri"/>
        </w:rPr>
        <w:t xml:space="preserve"> </w:t>
      </w:r>
      <w:r w:rsidRPr="0083259E">
        <w:rPr>
          <w:rFonts w:ascii="Calibri" w:hAnsi="Calibri"/>
        </w:rPr>
        <w:t>a</w:t>
      </w:r>
      <w:r>
        <w:rPr>
          <w:rFonts w:ascii="Calibri" w:hAnsi="Calibri"/>
        </w:rPr>
        <w:t xml:space="preserve"> payment t</w:t>
      </w:r>
      <w:r w:rsidRPr="0083259E">
        <w:rPr>
          <w:rFonts w:ascii="Calibri" w:hAnsi="Calibri"/>
        </w:rPr>
        <w:t>ransaction;</w:t>
      </w:r>
      <w:r>
        <w:rPr>
          <w:rFonts w:ascii="Calibri" w:hAnsi="Calibri"/>
        </w:rPr>
        <w:t xml:space="preserve"> </w:t>
      </w:r>
      <w:r w:rsidRPr="0083259E">
        <w:rPr>
          <w:rFonts w:ascii="Calibri" w:hAnsi="Calibri"/>
        </w:rPr>
        <w:t xml:space="preserve">or (2) derive over 25% of gross revenue from the sale of personal data and process or control personal data of 25,000consumersormore. </w:t>
      </w:r>
    </w:p>
    <w:p w14:paraId="49B31BC6" w14:textId="77777777" w:rsidR="00DA1970" w:rsidRPr="00DA1970" w:rsidRDefault="00DA1970" w:rsidP="00DA1970">
      <w:pPr>
        <w:numPr>
          <w:ilvl w:val="0"/>
          <w:numId w:val="1"/>
        </w:numPr>
        <w:contextualSpacing/>
        <w:rPr>
          <w:rFonts w:ascii="Calibri" w:hAnsi="Calibri"/>
        </w:rPr>
      </w:pPr>
      <w:r w:rsidRPr="00DA1970">
        <w:rPr>
          <w:rFonts w:ascii="Calibri" w:hAnsi="Calibri"/>
        </w:rPr>
        <w:t>Creates consumer rights and/or disclosure requirements concerning processing and sharing of personal data.</w:t>
      </w:r>
    </w:p>
    <w:p w14:paraId="773D68B2" w14:textId="77777777" w:rsidR="00DA1970" w:rsidRPr="00DA1970" w:rsidRDefault="00DA1970" w:rsidP="00DA1970">
      <w:pPr>
        <w:numPr>
          <w:ilvl w:val="0"/>
          <w:numId w:val="1"/>
        </w:numPr>
        <w:contextualSpacing/>
        <w:rPr>
          <w:rFonts w:ascii="Calibri" w:hAnsi="Calibri"/>
        </w:rPr>
      </w:pPr>
      <w:r w:rsidRPr="00DA1970">
        <w:rPr>
          <w:rFonts w:ascii="Calibri" w:hAnsi="Calibri"/>
        </w:rPr>
        <w:t>Imposes limitations on certain processing practices (including targeted advertising or profiling) as specified.</w:t>
      </w:r>
    </w:p>
    <w:p w14:paraId="09E678D7" w14:textId="77777777" w:rsidR="00DA1970" w:rsidRPr="00DA1970" w:rsidRDefault="00DA1970" w:rsidP="00DA1970">
      <w:pPr>
        <w:numPr>
          <w:ilvl w:val="0"/>
          <w:numId w:val="1"/>
        </w:numPr>
        <w:contextualSpacing/>
        <w:rPr>
          <w:rFonts w:ascii="Calibri" w:hAnsi="Calibri"/>
        </w:rPr>
      </w:pPr>
      <w:r w:rsidRPr="00DA1970">
        <w:rPr>
          <w:rFonts w:ascii="Calibri" w:hAnsi="Calibri"/>
        </w:rPr>
        <w:t>Provides for enforcement and civil penalties as specified.</w:t>
      </w:r>
    </w:p>
    <w:p w14:paraId="22CBE2E4" w14:textId="28ED22E4" w:rsidR="00DE0FF5" w:rsidRPr="00052EF3" w:rsidRDefault="00DA1970" w:rsidP="0092650C">
      <w:pPr>
        <w:numPr>
          <w:ilvl w:val="0"/>
          <w:numId w:val="1"/>
        </w:numPr>
        <w:contextualSpacing/>
        <w:rPr>
          <w:rFonts w:ascii="Calibri" w:hAnsi="Calibri"/>
        </w:rPr>
      </w:pPr>
      <w:r w:rsidRPr="00DA1970">
        <w:rPr>
          <w:rFonts w:ascii="Calibri" w:hAnsi="Calibri"/>
        </w:rPr>
        <w:t>Applies to telecommunications and broadband companies if they meet coverage thresholds; it is not limited solely to telecom/broadband companies and does not expressly exclude them.</w:t>
      </w:r>
    </w:p>
    <w:sectPr w:rsidR="00DE0FF5" w:rsidRPr="00052EF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FA0650E8"/>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0B22D96"/>
    <w:multiLevelType w:val="hybridMultilevel"/>
    <w:tmpl w:val="0F54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F223C"/>
    <w:multiLevelType w:val="hybridMultilevel"/>
    <w:tmpl w:val="3664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9D1341"/>
    <w:multiLevelType w:val="hybridMultilevel"/>
    <w:tmpl w:val="A8EC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0230CB"/>
    <w:multiLevelType w:val="hybridMultilevel"/>
    <w:tmpl w:val="46DAA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8D18D3"/>
    <w:multiLevelType w:val="hybridMultilevel"/>
    <w:tmpl w:val="31702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743650"/>
    <w:multiLevelType w:val="hybridMultilevel"/>
    <w:tmpl w:val="BACA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940F5"/>
    <w:multiLevelType w:val="hybridMultilevel"/>
    <w:tmpl w:val="452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8D3DF4"/>
    <w:multiLevelType w:val="hybridMultilevel"/>
    <w:tmpl w:val="FA761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00AA0"/>
    <w:multiLevelType w:val="hybridMultilevel"/>
    <w:tmpl w:val="AFD86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690B14"/>
    <w:multiLevelType w:val="hybridMultilevel"/>
    <w:tmpl w:val="4F92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2F47C2"/>
    <w:multiLevelType w:val="hybridMultilevel"/>
    <w:tmpl w:val="C786E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333502"/>
    <w:multiLevelType w:val="hybridMultilevel"/>
    <w:tmpl w:val="AC1E9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5F37DA"/>
    <w:multiLevelType w:val="hybridMultilevel"/>
    <w:tmpl w:val="DD861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03172A"/>
    <w:multiLevelType w:val="hybridMultilevel"/>
    <w:tmpl w:val="CD54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06065D"/>
    <w:multiLevelType w:val="hybridMultilevel"/>
    <w:tmpl w:val="B5448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6065205">
    <w:abstractNumId w:val="8"/>
  </w:num>
  <w:num w:numId="2" w16cid:durableId="348336715">
    <w:abstractNumId w:val="6"/>
  </w:num>
  <w:num w:numId="3" w16cid:durableId="270598196">
    <w:abstractNumId w:val="5"/>
  </w:num>
  <w:num w:numId="4" w16cid:durableId="1752965833">
    <w:abstractNumId w:val="4"/>
  </w:num>
  <w:num w:numId="5" w16cid:durableId="1711346496">
    <w:abstractNumId w:val="7"/>
  </w:num>
  <w:num w:numId="6" w16cid:durableId="1796482844">
    <w:abstractNumId w:val="3"/>
  </w:num>
  <w:num w:numId="7" w16cid:durableId="147484755">
    <w:abstractNumId w:val="2"/>
  </w:num>
  <w:num w:numId="8" w16cid:durableId="1293636510">
    <w:abstractNumId w:val="1"/>
  </w:num>
  <w:num w:numId="9" w16cid:durableId="1086806374">
    <w:abstractNumId w:val="0"/>
  </w:num>
  <w:num w:numId="10" w16cid:durableId="1759255987">
    <w:abstractNumId w:val="12"/>
  </w:num>
  <w:num w:numId="11" w16cid:durableId="709451910">
    <w:abstractNumId w:val="16"/>
  </w:num>
  <w:num w:numId="12" w16cid:durableId="637295548">
    <w:abstractNumId w:val="23"/>
  </w:num>
  <w:num w:numId="13" w16cid:durableId="1007682345">
    <w:abstractNumId w:val="21"/>
  </w:num>
  <w:num w:numId="14" w16cid:durableId="1220673963">
    <w:abstractNumId w:val="15"/>
  </w:num>
  <w:num w:numId="15" w16cid:durableId="1833645991">
    <w:abstractNumId w:val="14"/>
  </w:num>
  <w:num w:numId="16" w16cid:durableId="129858798">
    <w:abstractNumId w:val="9"/>
  </w:num>
  <w:num w:numId="17" w16cid:durableId="1576280008">
    <w:abstractNumId w:val="19"/>
  </w:num>
  <w:num w:numId="18" w16cid:durableId="803353509">
    <w:abstractNumId w:val="10"/>
  </w:num>
  <w:num w:numId="19" w16cid:durableId="247427138">
    <w:abstractNumId w:val="22"/>
  </w:num>
  <w:num w:numId="20" w16cid:durableId="1293512699">
    <w:abstractNumId w:val="18"/>
  </w:num>
  <w:num w:numId="21" w16cid:durableId="849489052">
    <w:abstractNumId w:val="13"/>
  </w:num>
  <w:num w:numId="22" w16cid:durableId="2118017315">
    <w:abstractNumId w:val="17"/>
  </w:num>
  <w:num w:numId="23" w16cid:durableId="2029523719">
    <w:abstractNumId w:val="11"/>
  </w:num>
  <w:num w:numId="24" w16cid:durableId="14347890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530D"/>
    <w:rsid w:val="000225AF"/>
    <w:rsid w:val="00034616"/>
    <w:rsid w:val="000503AF"/>
    <w:rsid w:val="00052EF3"/>
    <w:rsid w:val="0005439F"/>
    <w:rsid w:val="00055C25"/>
    <w:rsid w:val="0006063C"/>
    <w:rsid w:val="000652D3"/>
    <w:rsid w:val="000811E7"/>
    <w:rsid w:val="00084BAE"/>
    <w:rsid w:val="000933F9"/>
    <w:rsid w:val="000A7C70"/>
    <w:rsid w:val="000B41ED"/>
    <w:rsid w:val="000C05E2"/>
    <w:rsid w:val="000C2E69"/>
    <w:rsid w:val="000C3DCF"/>
    <w:rsid w:val="000C4394"/>
    <w:rsid w:val="000D3425"/>
    <w:rsid w:val="000D59A1"/>
    <w:rsid w:val="0010180B"/>
    <w:rsid w:val="00102F60"/>
    <w:rsid w:val="001117B6"/>
    <w:rsid w:val="001169AD"/>
    <w:rsid w:val="00117BD4"/>
    <w:rsid w:val="00127BB2"/>
    <w:rsid w:val="00133E23"/>
    <w:rsid w:val="00135F22"/>
    <w:rsid w:val="00145CFA"/>
    <w:rsid w:val="0015074B"/>
    <w:rsid w:val="0015312D"/>
    <w:rsid w:val="00154E3D"/>
    <w:rsid w:val="00161EE9"/>
    <w:rsid w:val="00164F5A"/>
    <w:rsid w:val="00172D8D"/>
    <w:rsid w:val="00182CAD"/>
    <w:rsid w:val="00192C69"/>
    <w:rsid w:val="0019451E"/>
    <w:rsid w:val="0019520A"/>
    <w:rsid w:val="001B3EE3"/>
    <w:rsid w:val="001D1C81"/>
    <w:rsid w:val="001D4C0E"/>
    <w:rsid w:val="001E3507"/>
    <w:rsid w:val="001E4DB6"/>
    <w:rsid w:val="00204000"/>
    <w:rsid w:val="00213B38"/>
    <w:rsid w:val="002236D3"/>
    <w:rsid w:val="002358B7"/>
    <w:rsid w:val="00235F44"/>
    <w:rsid w:val="00242D48"/>
    <w:rsid w:val="00250D10"/>
    <w:rsid w:val="00255D09"/>
    <w:rsid w:val="00274159"/>
    <w:rsid w:val="002764BC"/>
    <w:rsid w:val="00281059"/>
    <w:rsid w:val="00286AEC"/>
    <w:rsid w:val="002924E8"/>
    <w:rsid w:val="0029460F"/>
    <w:rsid w:val="0029639D"/>
    <w:rsid w:val="002A7009"/>
    <w:rsid w:val="002C1167"/>
    <w:rsid w:val="002C1EBD"/>
    <w:rsid w:val="002D0125"/>
    <w:rsid w:val="002D3145"/>
    <w:rsid w:val="002D67CF"/>
    <w:rsid w:val="002E4720"/>
    <w:rsid w:val="002E6F8C"/>
    <w:rsid w:val="00304A2D"/>
    <w:rsid w:val="00311FF4"/>
    <w:rsid w:val="00325DDF"/>
    <w:rsid w:val="00326BD5"/>
    <w:rsid w:val="00326F90"/>
    <w:rsid w:val="00347D67"/>
    <w:rsid w:val="00375502"/>
    <w:rsid w:val="00376E58"/>
    <w:rsid w:val="00386EB3"/>
    <w:rsid w:val="003973AE"/>
    <w:rsid w:val="003C608F"/>
    <w:rsid w:val="004004EB"/>
    <w:rsid w:val="00411F00"/>
    <w:rsid w:val="004365D3"/>
    <w:rsid w:val="004558DF"/>
    <w:rsid w:val="00465493"/>
    <w:rsid w:val="00480EC9"/>
    <w:rsid w:val="00484053"/>
    <w:rsid w:val="004850E7"/>
    <w:rsid w:val="00485DCD"/>
    <w:rsid w:val="00497956"/>
    <w:rsid w:val="004A3842"/>
    <w:rsid w:val="004B38CE"/>
    <w:rsid w:val="004C5FEC"/>
    <w:rsid w:val="004D7879"/>
    <w:rsid w:val="004E1EF8"/>
    <w:rsid w:val="004E717E"/>
    <w:rsid w:val="004F014B"/>
    <w:rsid w:val="004F3E01"/>
    <w:rsid w:val="0050507C"/>
    <w:rsid w:val="00520034"/>
    <w:rsid w:val="00532741"/>
    <w:rsid w:val="00534EBE"/>
    <w:rsid w:val="005358B3"/>
    <w:rsid w:val="00537817"/>
    <w:rsid w:val="00546CAE"/>
    <w:rsid w:val="0056332B"/>
    <w:rsid w:val="00577465"/>
    <w:rsid w:val="00581726"/>
    <w:rsid w:val="005863D0"/>
    <w:rsid w:val="005C5DE4"/>
    <w:rsid w:val="005C7F87"/>
    <w:rsid w:val="005D589E"/>
    <w:rsid w:val="005D6B3B"/>
    <w:rsid w:val="005E005A"/>
    <w:rsid w:val="005E1F4E"/>
    <w:rsid w:val="005E6273"/>
    <w:rsid w:val="00604B0D"/>
    <w:rsid w:val="006120DF"/>
    <w:rsid w:val="006266A9"/>
    <w:rsid w:val="00634C0A"/>
    <w:rsid w:val="00637A29"/>
    <w:rsid w:val="00637E80"/>
    <w:rsid w:val="0064021E"/>
    <w:rsid w:val="00657567"/>
    <w:rsid w:val="00667A08"/>
    <w:rsid w:val="00676A10"/>
    <w:rsid w:val="00680B2F"/>
    <w:rsid w:val="00697177"/>
    <w:rsid w:val="006A1D4D"/>
    <w:rsid w:val="006A2526"/>
    <w:rsid w:val="006B48A6"/>
    <w:rsid w:val="006C6545"/>
    <w:rsid w:val="006D4F9E"/>
    <w:rsid w:val="006D5E78"/>
    <w:rsid w:val="006D7DFD"/>
    <w:rsid w:val="006F60A8"/>
    <w:rsid w:val="006F60D4"/>
    <w:rsid w:val="00743B0F"/>
    <w:rsid w:val="00743DB6"/>
    <w:rsid w:val="00752EB0"/>
    <w:rsid w:val="007544A5"/>
    <w:rsid w:val="007559E4"/>
    <w:rsid w:val="00756DA6"/>
    <w:rsid w:val="007643F0"/>
    <w:rsid w:val="007740A0"/>
    <w:rsid w:val="00777E0F"/>
    <w:rsid w:val="00781783"/>
    <w:rsid w:val="00787519"/>
    <w:rsid w:val="007A6BB3"/>
    <w:rsid w:val="007B71CE"/>
    <w:rsid w:val="007D1707"/>
    <w:rsid w:val="007D5C4F"/>
    <w:rsid w:val="007E3917"/>
    <w:rsid w:val="007E6318"/>
    <w:rsid w:val="007E68B1"/>
    <w:rsid w:val="007E7CCD"/>
    <w:rsid w:val="007F0261"/>
    <w:rsid w:val="007F4CBB"/>
    <w:rsid w:val="0082104E"/>
    <w:rsid w:val="008269EF"/>
    <w:rsid w:val="0083258F"/>
    <w:rsid w:val="0083259E"/>
    <w:rsid w:val="00840901"/>
    <w:rsid w:val="00841A10"/>
    <w:rsid w:val="00844494"/>
    <w:rsid w:val="008546EA"/>
    <w:rsid w:val="00857652"/>
    <w:rsid w:val="008745BB"/>
    <w:rsid w:val="00874A75"/>
    <w:rsid w:val="00880BFD"/>
    <w:rsid w:val="008A0010"/>
    <w:rsid w:val="008A4D32"/>
    <w:rsid w:val="008A631A"/>
    <w:rsid w:val="008B0EF3"/>
    <w:rsid w:val="008B73E7"/>
    <w:rsid w:val="008C1300"/>
    <w:rsid w:val="008C5A0D"/>
    <w:rsid w:val="008C6E40"/>
    <w:rsid w:val="008D2C33"/>
    <w:rsid w:val="008D6273"/>
    <w:rsid w:val="008E170B"/>
    <w:rsid w:val="008E5CEE"/>
    <w:rsid w:val="00910F14"/>
    <w:rsid w:val="00917348"/>
    <w:rsid w:val="009175FA"/>
    <w:rsid w:val="009206B1"/>
    <w:rsid w:val="0092650C"/>
    <w:rsid w:val="009348E1"/>
    <w:rsid w:val="00935263"/>
    <w:rsid w:val="00936B9E"/>
    <w:rsid w:val="00940325"/>
    <w:rsid w:val="0094235D"/>
    <w:rsid w:val="0095175E"/>
    <w:rsid w:val="00957E25"/>
    <w:rsid w:val="00962484"/>
    <w:rsid w:val="009649F9"/>
    <w:rsid w:val="00967391"/>
    <w:rsid w:val="00974413"/>
    <w:rsid w:val="00977F12"/>
    <w:rsid w:val="00996FE5"/>
    <w:rsid w:val="009A089B"/>
    <w:rsid w:val="009A160D"/>
    <w:rsid w:val="009A6839"/>
    <w:rsid w:val="009B4A8C"/>
    <w:rsid w:val="009D40D9"/>
    <w:rsid w:val="009D47A6"/>
    <w:rsid w:val="009D5762"/>
    <w:rsid w:val="009D6E9E"/>
    <w:rsid w:val="009E5C42"/>
    <w:rsid w:val="00A222EB"/>
    <w:rsid w:val="00A42D23"/>
    <w:rsid w:val="00A44309"/>
    <w:rsid w:val="00A60460"/>
    <w:rsid w:val="00A60C4C"/>
    <w:rsid w:val="00A61B9A"/>
    <w:rsid w:val="00A67DF0"/>
    <w:rsid w:val="00A76664"/>
    <w:rsid w:val="00A82A9E"/>
    <w:rsid w:val="00A83208"/>
    <w:rsid w:val="00AA1D8D"/>
    <w:rsid w:val="00AA40D0"/>
    <w:rsid w:val="00AA4730"/>
    <w:rsid w:val="00AA5600"/>
    <w:rsid w:val="00AA7F1E"/>
    <w:rsid w:val="00AB1D74"/>
    <w:rsid w:val="00AC78A6"/>
    <w:rsid w:val="00AD3286"/>
    <w:rsid w:val="00AE38F3"/>
    <w:rsid w:val="00AF2E33"/>
    <w:rsid w:val="00AF36CC"/>
    <w:rsid w:val="00B00895"/>
    <w:rsid w:val="00B03B80"/>
    <w:rsid w:val="00B23860"/>
    <w:rsid w:val="00B47730"/>
    <w:rsid w:val="00B52315"/>
    <w:rsid w:val="00B605C0"/>
    <w:rsid w:val="00B611DB"/>
    <w:rsid w:val="00B66D0D"/>
    <w:rsid w:val="00B76BE2"/>
    <w:rsid w:val="00B77C63"/>
    <w:rsid w:val="00B83E86"/>
    <w:rsid w:val="00BA29AA"/>
    <w:rsid w:val="00BA511C"/>
    <w:rsid w:val="00BB4884"/>
    <w:rsid w:val="00BC3093"/>
    <w:rsid w:val="00BC416C"/>
    <w:rsid w:val="00BE0A59"/>
    <w:rsid w:val="00C04531"/>
    <w:rsid w:val="00C052CB"/>
    <w:rsid w:val="00C06F4A"/>
    <w:rsid w:val="00C14D05"/>
    <w:rsid w:val="00C22DE2"/>
    <w:rsid w:val="00C33805"/>
    <w:rsid w:val="00C85D34"/>
    <w:rsid w:val="00C869D6"/>
    <w:rsid w:val="00CB0664"/>
    <w:rsid w:val="00CB3286"/>
    <w:rsid w:val="00CC1A25"/>
    <w:rsid w:val="00CC7BCE"/>
    <w:rsid w:val="00CF0D71"/>
    <w:rsid w:val="00CF7790"/>
    <w:rsid w:val="00D31C1F"/>
    <w:rsid w:val="00D36A47"/>
    <w:rsid w:val="00D37D11"/>
    <w:rsid w:val="00D46183"/>
    <w:rsid w:val="00D47CD9"/>
    <w:rsid w:val="00D52FFF"/>
    <w:rsid w:val="00D53AA9"/>
    <w:rsid w:val="00D558DA"/>
    <w:rsid w:val="00D6331D"/>
    <w:rsid w:val="00D80718"/>
    <w:rsid w:val="00D81B96"/>
    <w:rsid w:val="00D922F9"/>
    <w:rsid w:val="00DA1970"/>
    <w:rsid w:val="00DA2928"/>
    <w:rsid w:val="00DC6FB9"/>
    <w:rsid w:val="00DC7CC6"/>
    <w:rsid w:val="00DD28BC"/>
    <w:rsid w:val="00DD6AA3"/>
    <w:rsid w:val="00DE0F28"/>
    <w:rsid w:val="00DE0FF5"/>
    <w:rsid w:val="00DF5657"/>
    <w:rsid w:val="00E023AA"/>
    <w:rsid w:val="00E152EE"/>
    <w:rsid w:val="00E262D9"/>
    <w:rsid w:val="00E5774F"/>
    <w:rsid w:val="00E6646D"/>
    <w:rsid w:val="00E70506"/>
    <w:rsid w:val="00E72686"/>
    <w:rsid w:val="00E965B4"/>
    <w:rsid w:val="00EA33B9"/>
    <w:rsid w:val="00EA462E"/>
    <w:rsid w:val="00EB2DE2"/>
    <w:rsid w:val="00EB432C"/>
    <w:rsid w:val="00EB4A3D"/>
    <w:rsid w:val="00EB7C5F"/>
    <w:rsid w:val="00EC1BEA"/>
    <w:rsid w:val="00EC39A3"/>
    <w:rsid w:val="00EC7E89"/>
    <w:rsid w:val="00ED47C0"/>
    <w:rsid w:val="00ED7300"/>
    <w:rsid w:val="00F07306"/>
    <w:rsid w:val="00F167E4"/>
    <w:rsid w:val="00F213EF"/>
    <w:rsid w:val="00F30863"/>
    <w:rsid w:val="00F47AE8"/>
    <w:rsid w:val="00F55084"/>
    <w:rsid w:val="00F71D7E"/>
    <w:rsid w:val="00F83E84"/>
    <w:rsid w:val="00FA4616"/>
    <w:rsid w:val="00FB1F63"/>
    <w:rsid w:val="00FC63F2"/>
    <w:rsid w:val="00FC693F"/>
    <w:rsid w:val="00FE5DFA"/>
    <w:rsid w:val="00FF0C4E"/>
    <w:rsid w:val="00FF32BF"/>
    <w:rsid w:val="00FF47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09686E"/>
  <w14:defaultImageDpi w14:val="300"/>
  <w15:docId w15:val="{9D9D3483-6DC9-498D-90DF-BAEE33F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32C"/>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274159"/>
    <w:pPr>
      <w:spacing w:after="0" w:line="240" w:lineRule="auto"/>
    </w:pPr>
  </w:style>
  <w:style w:type="character" w:styleId="Hyperlink">
    <w:name w:val="Hyperlink"/>
    <w:basedOn w:val="DefaultParagraphFont"/>
    <w:uiPriority w:val="99"/>
    <w:unhideWhenUsed/>
    <w:rsid w:val="00CF0D71"/>
    <w:rPr>
      <w:color w:val="0000FF" w:themeColor="hyperlink"/>
      <w:u w:val="single"/>
    </w:rPr>
  </w:style>
  <w:style w:type="character" w:styleId="UnresolvedMention">
    <w:name w:val="Unresolved Mention"/>
    <w:basedOn w:val="DefaultParagraphFont"/>
    <w:uiPriority w:val="99"/>
    <w:semiHidden/>
    <w:unhideWhenUsed/>
    <w:rsid w:val="00CF0D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lga.gov/legislation/BillStatus.asp?DocNum=4661&amp;GAID=18&amp;GA=104&amp;DocTypeID=HB" TargetMode="External"/><Relationship Id="rId18" Type="http://schemas.openxmlformats.org/officeDocument/2006/relationships/hyperlink" Target="https://www.ilga.gov/legislation/BillStatus.asp?DocNum=3652&amp;GAID=18&amp;GA=104&amp;DocTypeID=SB" TargetMode="External"/><Relationship Id="rId26" Type="http://schemas.openxmlformats.org/officeDocument/2006/relationships/hyperlink" Target="https://www.ilga.gov/Legislation/BillStatus?DocNum=4592&amp;GAID=18&amp;DocTypeID=HB&amp;SessionID=114&amp;GA=104" TargetMode="External"/><Relationship Id="rId39" Type="http://schemas.openxmlformats.org/officeDocument/2006/relationships/hyperlink" Target="https://www.ilga.gov/Legislation/BillStatus?DocNum=3220&amp;GAID=18&amp;DocTypeID=SB&amp;SessionID=114&amp;GA=104" TargetMode="External"/><Relationship Id="rId21" Type="http://schemas.openxmlformats.org/officeDocument/2006/relationships/hyperlink" Target="https://www.ilga.gov/legislation/BillStatus.asp?DocNum=3965&amp;GAID=18&amp;GA=104&amp;DocTypeID=SB" TargetMode="External"/><Relationship Id="rId34" Type="http://schemas.openxmlformats.org/officeDocument/2006/relationships/hyperlink" Target="https://www.ilga.gov/Legislation/BillStatus?DocNum=5221&amp;GAID=18&amp;DocTypeID=HB&amp;SessionID=114&amp;GA=104" TargetMode="External"/><Relationship Id="rId42" Type="http://schemas.openxmlformats.org/officeDocument/2006/relationships/hyperlink" Target="https://www.ilga.gov/Legislation/BillStatus?DocNum=3384&amp;GAID=18&amp;DocTypeID=SB&amp;SessionID=114&amp;GA=104" TargetMode="External"/><Relationship Id="rId47" Type="http://schemas.openxmlformats.org/officeDocument/2006/relationships/hyperlink" Target="https://www.ilga.gov/Legislation/BillStatus?DocNum=3603&amp;GAID=18&amp;DocTypeID=SB&amp;SessionID=114&amp;GA=104"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lga.gov/legislation/BillStatus.asp?DocNum=3593&amp;GAID=18&amp;GA=104&amp;DocTypeID=SB" TargetMode="External"/><Relationship Id="rId29" Type="http://schemas.openxmlformats.org/officeDocument/2006/relationships/hyperlink" Target="https://www.ilga.gov/Legislation/BillStatus?DocNum=2957&amp;GAID=18&amp;DocTypeID=SB&amp;SessionID=114&amp;GA=104" TargetMode="External"/><Relationship Id="rId11" Type="http://schemas.openxmlformats.org/officeDocument/2006/relationships/hyperlink" Target="https://www.ilga.gov/legislation/BillStatus.asp?DocNum=4943&amp;GAID=18&amp;GA=104&amp;DocTypeID=HB" TargetMode="External"/><Relationship Id="rId24" Type="http://schemas.openxmlformats.org/officeDocument/2006/relationships/hyperlink" Target="https://www.ilga.gov/Legislation/BillStatus?DocNum=4248&amp;GAID=18&amp;DocTypeID=HB&amp;SessionID=114&amp;GA=104" TargetMode="External"/><Relationship Id="rId32" Type="http://schemas.openxmlformats.org/officeDocument/2006/relationships/hyperlink" Target="https://www.ilga.gov/Legislation/BillStatus?DocNum=4799&amp;GAID=18&amp;DocTypeID=HB&amp;SessionID=114&amp;GA=104" TargetMode="External"/><Relationship Id="rId37" Type="http://schemas.openxmlformats.org/officeDocument/2006/relationships/hyperlink" Target="https://www.ilga.gov/Legislation/BillStatus?DocNum=2995&amp;GAID=18&amp;DocTypeID=SB&amp;SessionID=114&amp;GA=104" TargetMode="External"/><Relationship Id="rId40" Type="http://schemas.openxmlformats.org/officeDocument/2006/relationships/hyperlink" Target="https://www.ilga.gov/Legislation/BillStatus?DocNum=3262&amp;GAID=18&amp;DocTypeID=SB&amp;SessionID=114&amp;GA=104" TargetMode="External"/><Relationship Id="rId45" Type="http://schemas.openxmlformats.org/officeDocument/2006/relationships/hyperlink" Target="https://www.ilga.gov/Legislation/BillStatus?DocNum=3548&amp;GAID=18&amp;DocTypeID=SB&amp;SessionID=114&amp;GA=104" TargetMode="External"/><Relationship Id="rId5" Type="http://schemas.openxmlformats.org/officeDocument/2006/relationships/numbering" Target="numbering.xml"/><Relationship Id="rId15" Type="http://schemas.openxmlformats.org/officeDocument/2006/relationships/hyperlink" Target="https://www.ilga.gov/legislation/BillStatus.asp?DocNum=3573&amp;GAID=18&amp;GA=104&amp;DocTypeID=SB" TargetMode="External"/><Relationship Id="rId23" Type="http://schemas.openxmlformats.org/officeDocument/2006/relationships/hyperlink" Target="https://www.ilga.gov/legislation/BillStatus.asp?DocNum=2804&amp;GAID=18&amp;GA=104&amp;DocTypeID=SB" TargetMode="External"/><Relationship Id="rId28" Type="http://schemas.openxmlformats.org/officeDocument/2006/relationships/hyperlink" Target="https://www.ilga.gov/Legislation/BillStatus?DocNum=2822&amp;GAID=18&amp;DocTypeID=SB&amp;SessionID=114&amp;GA=104" TargetMode="External"/><Relationship Id="rId36" Type="http://schemas.openxmlformats.org/officeDocument/2006/relationships/hyperlink" Target="https://www.ilga.gov/Legislation/BillStatus?DocNum=2897&amp;GAID=18&amp;DocTypeID=SB&amp;SessionID=114&amp;GA=104" TargetMode="External"/><Relationship Id="rId49" Type="http://schemas.openxmlformats.org/officeDocument/2006/relationships/theme" Target="theme/theme1.xml"/><Relationship Id="rId10" Type="http://schemas.openxmlformats.org/officeDocument/2006/relationships/hyperlink" Target="https://www.ilga.gov/legislation/BillStatus.asp?DocNum=4562&amp;GAID=18&amp;GA=104&amp;DocTypeID=HB" TargetMode="External"/><Relationship Id="rId19" Type="http://schemas.openxmlformats.org/officeDocument/2006/relationships/hyperlink" Target="https://www.ilga.gov/legislation/BillStatus.asp?DocNum=3719&amp;GAID=18&amp;GA=104&amp;DocTypeID=SB" TargetMode="External"/><Relationship Id="rId31" Type="http://schemas.openxmlformats.org/officeDocument/2006/relationships/hyperlink" Target="https://www.ilga.gov/Legislation/BillStatus?DocNum=4538&amp;GAID=18&amp;DocTypeID=HB&amp;SessionID=114&amp;GA=104" TargetMode="External"/><Relationship Id="rId44" Type="http://schemas.openxmlformats.org/officeDocument/2006/relationships/hyperlink" Target="https://www.ilga.gov/Legislation/BillStatus?DocNum=3502&amp;GAID=18&amp;DocTypeID=SB&amp;SessionID=114&amp;GA=104" TargetMode="External"/><Relationship Id="rId4" Type="http://schemas.openxmlformats.org/officeDocument/2006/relationships/customXml" Target="../customXml/item4.xml"/><Relationship Id="rId9" Type="http://schemas.openxmlformats.org/officeDocument/2006/relationships/hyperlink" Target="https://www.ilga.gov/legislation/BillStatus.asp?DocNum=4561&amp;GAID=18&amp;GA=104&amp;DocTypeID=HB" TargetMode="External"/><Relationship Id="rId14" Type="http://schemas.openxmlformats.org/officeDocument/2006/relationships/hyperlink" Target="https://www.ilga.gov/legislation/BillStatus.asp?DocNum=4731&amp;GAID=18&amp;GA=104&amp;DocTypeID=HB" TargetMode="External"/><Relationship Id="rId22" Type="http://schemas.openxmlformats.org/officeDocument/2006/relationships/hyperlink" Target="https://www.ilga.gov/legislation/BillStatus.asp?DocNum=3994&amp;GAID=18&amp;GA=104&amp;DocTypeID=SB" TargetMode="External"/><Relationship Id="rId27" Type="http://schemas.openxmlformats.org/officeDocument/2006/relationships/hyperlink" Target="https://www.ilga.gov/Legislation/BillStatus?DocNum=4717&amp;GAID=18&amp;DocTypeID=HB&amp;SessionID=114&amp;GA=104" TargetMode="External"/><Relationship Id="rId30" Type="http://schemas.openxmlformats.org/officeDocument/2006/relationships/hyperlink" Target="https://www.ilga.gov/Legislation/BillStatus?DocNum=4140&amp;GAID=18&amp;DocTypeID=HB&amp;SessionID=114&amp;GA=104" TargetMode="External"/><Relationship Id="rId35" Type="http://schemas.openxmlformats.org/officeDocument/2006/relationships/hyperlink" Target="https://www.ilga.gov/Legislation/BillStatus?DocNum=2875&amp;GAID=18&amp;DocTypeID=SB&amp;SessionID=114&amp;GA=104" TargetMode="External"/><Relationship Id="rId43" Type="http://schemas.openxmlformats.org/officeDocument/2006/relationships/hyperlink" Target="https://www.ilga.gov/Legislation/BillStatus?DocNum=3444&amp;GAID=18&amp;DocTypeID=SB&amp;SessionID=114&amp;GA=104"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ilga.gov/legislation/BillStatus.asp?DocNum=3612&amp;GAID=18&amp;GA=104&amp;DocTypeID=SB" TargetMode="External"/><Relationship Id="rId17" Type="http://schemas.openxmlformats.org/officeDocument/2006/relationships/hyperlink" Target="https://www.ilga.gov/legislation/BillStatus.asp?DocNum=3613&amp;GAID=18&amp;GA=104&amp;DocTypeID=SB" TargetMode="External"/><Relationship Id="rId25" Type="http://schemas.openxmlformats.org/officeDocument/2006/relationships/hyperlink" Target="https://www.ilga.gov/Legislation/BillStatus?DocNum=4544&amp;GAID=18&amp;DocTypeID=HB&amp;SessionID=114&amp;GA=104" TargetMode="External"/><Relationship Id="rId33" Type="http://schemas.openxmlformats.org/officeDocument/2006/relationships/hyperlink" Target="https://www.ilga.gov/Legislation/BillStatus?DocNum=5044&amp;GAID=18&amp;DocTypeID=HB&amp;SessionID=114&amp;GA=104" TargetMode="External"/><Relationship Id="rId38" Type="http://schemas.openxmlformats.org/officeDocument/2006/relationships/hyperlink" Target="https://www.ilga.gov/Legislation/BillStatus?DocNum=3180&amp;GAID=18&amp;DocTypeID=SB&amp;SessionID=114&amp;GA=104" TargetMode="External"/><Relationship Id="rId46" Type="http://schemas.openxmlformats.org/officeDocument/2006/relationships/hyperlink" Target="https://www.ilga.gov/Legislation/BillStatus?DocNum=3590&amp;GAID=18&amp;DocTypeID=SB&amp;SessionID=114&amp;GA=104" TargetMode="External"/><Relationship Id="rId20" Type="http://schemas.openxmlformats.org/officeDocument/2006/relationships/hyperlink" Target="https://www.ilga.gov/legislation/BillStatus.asp?DocNum=3838&amp;GAID=18&amp;GA=104&amp;DocTypeID=SB" TargetMode="External"/><Relationship Id="rId41" Type="http://schemas.openxmlformats.org/officeDocument/2006/relationships/hyperlink" Target="https://www.ilga.gov/Legislation/BillStatus?DocNum=3312&amp;GAID=18&amp;DocTypeID=SB&amp;SessionID=114&amp;GA=104"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f112708-1dd9-4ad7-b221-3367be26205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94F1B572BE6B34FB0D60EAB092D328B" ma:contentTypeVersion="18" ma:contentTypeDescription="Create a new document." ma:contentTypeScope="" ma:versionID="f46cb3087159ad3217def96e57e29e3c">
  <xsd:schema xmlns:xsd="http://www.w3.org/2001/XMLSchema" xmlns:xs="http://www.w3.org/2001/XMLSchema" xmlns:p="http://schemas.microsoft.com/office/2006/metadata/properties" xmlns:ns3="3f774cab-bd91-484a-bba6-246eaacb2625" xmlns:ns4="2f112708-1dd9-4ad7-b221-3367be26205f" targetNamespace="http://schemas.microsoft.com/office/2006/metadata/properties" ma:root="true" ma:fieldsID="53b836507db6a9eb2dbbfd4b8dc099e4" ns3:_="" ns4:_="">
    <xsd:import namespace="3f774cab-bd91-484a-bba6-246eaacb2625"/>
    <xsd:import namespace="2f112708-1dd9-4ad7-b221-3367be2620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AutoKeyPoints" minOccurs="0"/>
                <xsd:element ref="ns4:MediaServiceKeyPoints" minOccurs="0"/>
                <xsd:element ref="ns4:MediaServiceOCR" minOccurs="0"/>
                <xsd:element ref="ns4:MediaLengthInSeconds" minOccurs="0"/>
                <xsd:element ref="ns4:MediaServiceLocation" minOccurs="0"/>
                <xsd:element ref="ns4:MediaServiceObjectDetectorVersions" minOccurs="0"/>
                <xsd:element ref="ns4:_activity"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4cab-bd91-484a-bba6-246eaacb262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12708-1dd9-4ad7-b221-3367be2620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72D43F09-AA80-4107-8165-0C089369C34A}">
  <ds:schemaRefs>
    <ds:schemaRef ds:uri="http://schemas.microsoft.com/sharepoint/v3/contenttype/forms"/>
  </ds:schemaRefs>
</ds:datastoreItem>
</file>

<file path=customXml/itemProps3.xml><?xml version="1.0" encoding="utf-8"?>
<ds:datastoreItem xmlns:ds="http://schemas.openxmlformats.org/officeDocument/2006/customXml" ds:itemID="{AC635CD0-FD5A-4D85-BA93-A4BB39E20B26}">
  <ds:schemaRefs>
    <ds:schemaRef ds:uri="http://schemas.microsoft.com/office/2006/metadata/properties"/>
    <ds:schemaRef ds:uri="http://schemas.microsoft.com/office/infopath/2007/PartnerControls"/>
    <ds:schemaRef ds:uri="2f112708-1dd9-4ad7-b221-3367be26205f"/>
  </ds:schemaRefs>
</ds:datastoreItem>
</file>

<file path=customXml/itemProps4.xml><?xml version="1.0" encoding="utf-8"?>
<ds:datastoreItem xmlns:ds="http://schemas.openxmlformats.org/officeDocument/2006/customXml" ds:itemID="{82233288-82B4-4C75-B73A-3666A073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4cab-bd91-484a-bba6-246eaacb2625"/>
    <ds:schemaRef ds:uri="2f112708-1dd9-4ad7-b221-3367be2620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8260</Words>
  <Characters>47084</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55234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Randy Nehrt</cp:lastModifiedBy>
  <cp:revision>2</cp:revision>
  <cp:lastPrinted>2026-02-13T16:07:00Z</cp:lastPrinted>
  <dcterms:created xsi:type="dcterms:W3CDTF">2026-02-20T16:54:00Z</dcterms:created>
  <dcterms:modified xsi:type="dcterms:W3CDTF">2026-02-20T16:54:00Z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0x010100F94F1B572BE6B34FB0D60EAB092D328B</vt:lpwstr>
  </property>
</Properties>
</file>